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2476-2026 i Älvdalens kommun</w:t>
      </w:r>
    </w:p>
    <w:p>
      <w:r>
        <w:t>Denna tillsynsbegäran behandlar höga naturvärden i samrådsanmälan S 2476-2026 i Älvdalens kommun som inkom 2026-09-22 och omfattar 22,8 ha.</w:t>
      </w:r>
    </w:p>
    <w:p>
      <w:pPr>
        <w:pStyle w:val="Caption"/>
      </w:pPr>
      <w:r>
        <w:drawing>
          <wp:inline xmlns:a="http://schemas.openxmlformats.org/drawingml/2006/main" xmlns:pic="http://schemas.openxmlformats.org/drawingml/2006/picture">
            <wp:extent cx="5486400" cy="5256386"/>
            <wp:docPr id="1" name="Picture 1"/>
            <wp:cNvGraphicFramePr>
              <a:graphicFrameLocks noChangeAspect="1"/>
            </wp:cNvGraphicFramePr>
            <a:graphic>
              <a:graphicData uri="http://schemas.openxmlformats.org/drawingml/2006/picture">
                <pic:pic>
                  <pic:nvPicPr>
                    <pic:cNvPr id="0" name="S 2476-2026 karta.png"/>
                    <pic:cNvPicPr/>
                  </pic:nvPicPr>
                  <pic:blipFill>
                    <a:blip r:embed="rId16"/>
                    <a:stretch>
                      <a:fillRect/>
                    </a:stretch>
                  </pic:blipFill>
                  <pic:spPr>
                    <a:xfrm>
                      <a:off x="0" y="0"/>
                      <a:ext cx="5486400" cy="5256386"/>
                    </a:xfrm>
                    <a:prstGeom prst="rect"/>
                  </pic:spPr>
                </pic:pic>
              </a:graphicData>
            </a:graphic>
          </wp:inline>
        </w:drawing>
      </w:r>
    </w:p>
    <w:p>
      <w:pPr>
        <w:pStyle w:val="Caption"/>
        <w:spacing w:after="240"/>
      </w:pPr>
      <w:r>
        <w:t>Figur 1. Fyndplatser för naturvårdsarter i och inom 2 meter från samrådsanmälan. Markörer utan svart kant är placerade på fyndplatsen. Markörer med svart kant är placerade vid sidan av fyndplatsen och har ett svart streck som visar fyndplatsens exakta position. Kartans mittpunktskoordinat är N 6859341, E 384987 i SWEREF 99 TM.</w:t>
      </w:r>
    </w:p>
    <w:p>
      <w:r>
        <w:t>I och inom 2 meter från samrådsanmälan finns fynd av 29 naturvårdsarter, varav 22 är rödlistade, 6 är fridlysta, 13 är typiska (T) och 4 är signalarter (S): gräddporing (VU, T), Lecidea subhumida (VU), smalfotad taggsvamp (VU), tajgataggsvamp (VU), blanksvart spiklav (NT), blågrå svartspik (NT), dropptaggsvamp (NT, T), dvärgbägarlav (NT, T), kolflarnlav (NT, T), lavskrika (NT, T, §4), mjölsvärting (NT), mörk kolflarnlav (NT), skarp dropptaggsvamp (NT), svartvit taggsvamp (NT), tallriska (NT), talltaggsvamp (NT), talltita (NT, §4), vaddporing (NT), varglav (NT, §8), vedflamlav (NT), vedskivlav (NT, T), vitplätt (NT), luddlav (S, T), nästlav (S, T), plattlummer (S, T, §9), vedticka (S, T), spillkråka (T, §4), sälg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i/>
        </w:rPr>
        <w:t xml:space="preserve">Lecidea subhumida </w:t>
      </w:r>
      <w:r>
        <w:rPr>
          <w:b/>
        </w:rPr>
        <w:t>(VU)</w:t>
      </w:r>
      <w:r>
        <w:t xml:space="preserve"> är en skivlav som växer på ved (grenar, stam) av gamla tallar i subalpin skog. Arten påverkas negativt av brist på kontinuitetsskog och en minskning av populationen pågår eller förväntas ske. Antalet individer bedöms vara lägre än gränsvärdet för sårbar (VU) (SLU Artdatabanken, 2026).</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 xml:space="preserve">Tajgataggsvamp (VU) </w:t>
      </w:r>
      <w:r>
        <w:t xml:space="preserve">är en sällsynt art som bildar mykorrhiza med tall och växer på marken under gamla tallågor, stubbar och även grenar av tall i brandpräglad torr tallskog på mager sandig mark med lång kontinuitet. Den är placerad högst upp i Skogsstyrelsens värdepyramid för bedömning av skog med höga naturvärden och flertalet växtplatser bör skyddas långsiktigt genom att öka arealen skyddad, brandpräglad, mager tallskog med trädkontinuitet. Troligtvis sammanblandas arten då och då med svartvit taggsvamp </w:t>
      </w:r>
      <w:r>
        <w:rPr>
          <w:i/>
        </w:rPr>
        <w:t>Phellodon connatus</w:t>
      </w:r>
      <w:r>
        <w:t xml:space="preserve"> som vid DNA-undersökningar visat sig ha flera olika former. Tajgataggsvamp är globalt rödlistad som sårbar (VU) vilket innebär att Sverige har ett internationellt ansvar för arten (IUCN, 2025; SLU Artdatabanken, 2024;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Mjölsvärting (NT)</w:t>
      </w:r>
      <w:r>
        <w:t xml:space="preserve"> växer i luckig barrskog, huvudsakligen på tallhed och i äldre skog. Mager, äldre tallskog och barrblandskog med lång trädkontinuitet bör undantas från trakthyggesbruk. Mjölsvärtingens lokaler är ofta nyckelbiotoper och bör då sparas i sin helhet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På lokaler med riklig förekomst av varglav kan man hitta den sällsynta lavparasiten varglavsknöl (VU), som är knuten till varglav (SLU Artdatabanken, 2024;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 xml:space="preserve">Sälg </w:t>
      </w:r>
      <w:r>
        <w:t xml:space="preserve">är typisk art för </w:t>
      </w:r>
      <w:r>
        <w:rPr>
          <w:i/>
        </w:rPr>
        <w:t xml:space="preserve">9040 Fjällbjörkskog </w:t>
      </w:r>
      <w:r>
        <w:t>(SLU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gräddporing (VU, T), dropptaggsvamp (NT, T), dvärgbägarlav (NT, T), kolflarnlav (NT, T), lavskrika (NT, T, §4), vedskivlav (NT, T), luddlav (S, T), nästlav (S, T), plattlummer (S, T, §9), vedticka (S, T), spillkråka (T, §4), sälg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