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41753-2025 i Älvdalens kommun</w:t>
      </w:r>
    </w:p>
    <w:p>
      <w:r>
        <w:t>Detta dokument behandlar höga naturvärden i avverkningsanmälan A 41753-2025 i Älvdalens kommun. Denna avverkningsanmälan inkom 2025-09-02 11:58:26 och omfattar 6,2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9 naturvårdsarter hittats: fläckporing (VU), blå taggsvamp (NT), dvärgbägarlav (NT), kolflarnlav (NT), orange taggsvamp (NT), talltaggsvamp (NT), varglav (NT, §8), vedflamlav (NT) och dropptaggsvamp (S). Av dessa är 8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416060"/>
            <wp:docPr id="1" name="Picture 1"/>
            <wp:cNvGraphicFramePr>
              <a:graphicFrameLocks noChangeAspect="1"/>
            </wp:cNvGraphicFramePr>
            <a:graphic>
              <a:graphicData uri="http://schemas.openxmlformats.org/drawingml/2006/picture">
                <pic:pic>
                  <pic:nvPicPr>
                    <pic:cNvPr id="0" name="A 41753-2025 karta.png"/>
                    <pic:cNvPicPr/>
                  </pic:nvPicPr>
                  <pic:blipFill>
                    <a:blip r:embed="rId16"/>
                    <a:stretch>
                      <a:fillRect/>
                    </a:stretch>
                  </pic:blipFill>
                  <pic:spPr>
                    <a:xfrm>
                      <a:off x="0" y="0"/>
                      <a:ext cx="5486400" cy="341606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6855602, E 405773 i SWEREF 99 TM.</w:t>
      </w:r>
    </w:p>
    <w:p>
      <w:r>
        <w:rPr>
          <w:b/>
        </w:rPr>
        <w:t xml:space="preserve">Blå taggsvamp (NT) </w:t>
      </w:r>
      <w:r>
        <w:t>är en karaktärsart i såväl örtrika kalkbarrskogar som i torra sandtallskogar där det föreligger gammal skog med långvarig trädkontinuitet. Är sällsynt och mycket kravfull i södra och mellersta Sverige. Den hotas främst av skogsavverkning och tycks försvinna efter slutavverkning, markberedning och plantering. I kalkgranskogar verkar arten vara mycket känslig. Granskogar med arten bör formellt skydddas (SLU Artdatabanken, 2024; Nitare &amp; Skogsstyrelsen, 2019).</w:t>
      </w:r>
    </w:p>
    <w:p>
      <w:r>
        <w:rPr>
          <w:b/>
        </w:rPr>
        <w:t>Dvärgbägarlav (NT)</w:t>
      </w:r>
      <w:r>
        <w:t xml:space="preserve"> förekommer över hela Sverige på gammal hård ved, huvudsakligen på tall men i södra Sverige även på ek. Veden utgörs framförallt av grova stubbar, lågor och grenar. Substratet har blivit sällsyntare och nybildning av substrat sker bara i begränsad omfattning. Arten hotas av att grova lågor blir allt sällsyntare i dagens kulturskogar samt att nybildningen av lämpliga substrat går mycket långsamt. En riklig tillgång på gamla tall- eller eklågor måste säkerställas på artens lokaler (SLU Artdatabanken, 2024; Nitare &amp; Skogsstyrelsen, 2019).</w:t>
      </w:r>
    </w:p>
    <w:p>
      <w:r>
        <w:rPr>
          <w:b/>
        </w:rPr>
        <w:t>Fläckporing (VU)</w:t>
      </w:r>
      <w:r>
        <w:t xml:space="preserve"> är en mycket bra signalart som visar på tallnaturskogar med höga naturvärden. Den är placerad högst upp i Skogsstyrelsens värdepyramid för bedömning av skog med höga naturvärden och indikerar områden som är mer eller mindre opåverkade av skogsbruk och där det funnits en kontinuitet av tallågor i olika nedbrytningsstadier. För att på lång sikt bibehålla livskraftiga populationer i ett område behövs troligen större skyddade områden som tillåter att man upprätthåller en naturlig branddynamik (SLU Artdatabanken, 2024; Nitare &amp; Skogsstyrelsen, 2019).</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(SLU Artdatabanken, 2024).</w:t>
      </w:r>
    </w:p>
    <w:p>
      <w:r>
        <w:rPr>
          <w:b/>
        </w:rPr>
        <w:t xml:space="preserve">Orange taggsvamp (NT) </w:t>
      </w:r>
      <w:r>
        <w:t>bildar mykorrhiza med både gran och tall och den förekommer främst i äldre barrskogar med kontinuitetsskogskaraktär. Mest frekvent är den i äldre mossrik granskog, men då bara i skogar inom granens naturliga utbredningsområde och i bestånd med långvarig grankontinuitet. Den totala populationen i landet bedöms ha minskat kraftigt och fortsatt kommer att minska då arten är knuten till en produktiv skogsmiljö som successivt avverkas. Arten hotas främst av skogsavverkning och tycks försvinna efter slutavverkning, markberedning och plantering och det är inte känt att arten har återkommit i anlagd skog på tidigare kalmark (SLU Artdatabanken, 2024).</w:t>
      </w:r>
    </w:p>
    <w:p>
      <w:r>
        <w:rPr>
          <w:b/>
        </w:rPr>
        <w:t xml:space="preserve">Talltaggsvamp (NT) </w:t>
      </w:r>
      <w:r>
        <w:t>förekommer främst i tallnaturskogar eller tallskogar av kontinuitetsskogskaraktär där den bildar mykorrhiza med tall. Särskilt frekvent är den i sandtallskogar med inslag av gamla träd, t.ex. på grusåsar, stränder och sandhedar. Arten hotas främst av skogsavverkning och tycks försvinna efter slutavverkning, markberedning och plantering. Talltaggsvamp är globalt rödlistad som nära hotad (NT) vilket innebär att Sverige har ett internationellt ansvar för arten (IUCN, 2025; SLU Artdatabanken, 2024).</w:t>
      </w:r>
    </w:p>
    <w:p>
      <w:r>
        <w:rPr>
          <w:b/>
        </w:rPr>
        <w:t>Vedflamlav (NT)</w:t>
      </w:r>
      <w:r>
        <w:t xml:space="preserve"> växer på gammal hård och torr, exponerad kärnved av tall, främst på högstubbar i ljusöppna lägen, t.ex. vid och på myrar, sjökanter, i glesa hällmarkskogar och i brandpräglade tallnaturskogar. Substratet nyskapas i begränsad omfattning och arten är en utmärkt indikator på höga naturvärden i denna skogstyp. Tall- och barrblandskogar med naturskogskaraktär och spår av bränder har ofta höga biologiska värden och bör skyddas (SLU Artdatabanken, 2024).</w:t>
      </w:r>
    </w:p>
    <w:p>
      <w:pPr>
        <w:pStyle w:val="Heading1"/>
      </w:pPr>
      <w:r>
        <w:t>Fridlysta arter</w:t>
      </w:r>
    </w:p>
    <w:p>
      <w:r>
        <w:t>Följande fridlysta arter har sina livsmiljöer och växtplatser i den avverkningsanmälda skogen: varglav (NT, §8).</w:t>
      </w:r>
    </w:p>
    <w:p>
      <w:r>
        <w:rPr>
          <w:b/>
        </w:rPr>
        <w:t>Varglav (NT, §8)</w:t>
      </w:r>
      <w:r>
        <w:t xml:space="preserve"> växer på gammal, torr, hård ved, främst på torrakor och högstubbar av tall i öppna lägen, främst på myrar och i myrkanter. Lämpliga torrakor nyskapas praktiskt taget inte alls. Arten är placerad högst upp i Skogsstyrelsens värdepyramid för bedömning av skog med höga naturvärden och är fridlyst enligt 8 § artskyddsförordningen. Tidigare fanns varglav även på ved i kulturlandskapet men den har nästan helt försvunnit från denna miljö (SLU Artdatabanken, 2024;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2026-01-21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