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förekomst av arten bör undantas från skogsbruksåtgärder. Röd kådsvartspik är globalt rödlistad som sårbar (VU) vilket innebär att Sverige har ett internationellt ansvar för arten (SLU Artdatabanken, 2026; IUCN, 2020).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