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45719-2021 i Smedjebackens kommun</w:t>
      </w:r>
    </w:p>
    <w:p>
      <w:r>
        <w:t>Detta dokument behandlar höga naturvärden i avverkningsanmälan A 45719-2021 i Smedjebackens kommun. Denna avverkningsanmälan inkom 2021-09-02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mindre hackspett (NT, §4), nordfladdermus (NT, §4a), stjärntagging (NT), talltita (NT, §4), ullticka (NT), björksplintborre (S), bronshjon (S), mindre märgborre (S), skogshakmossa (S), stubbspretmossa (S), thomsons trägnagare (S), trådfräken (S), trådticka (S), vedticka (S), vågbandad barkbock (S), vattenfladdermus (§4a), mattlummer (§9)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9293"/>
            <wp:docPr id="1" name="Picture 1"/>
            <wp:cNvGraphicFramePr>
              <a:graphicFrameLocks noChangeAspect="1"/>
            </wp:cNvGraphicFramePr>
            <a:graphic>
              <a:graphicData uri="http://schemas.openxmlformats.org/drawingml/2006/picture">
                <pic:pic>
                  <pic:nvPicPr>
                    <pic:cNvPr id="0" name="A 45719-2021 karta.png"/>
                    <pic:cNvPicPr/>
                  </pic:nvPicPr>
                  <pic:blipFill>
                    <a:blip r:embed="rId16"/>
                    <a:stretch>
                      <a:fillRect/>
                    </a:stretch>
                  </pic:blipFill>
                  <pic:spPr>
                    <a:xfrm>
                      <a:off x="0" y="0"/>
                      <a:ext cx="5486400" cy="49792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6677374, E 516903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Skogshakmossa</w:t>
      </w:r>
      <w:r>
        <w:t xml:space="preserve"> indikerar lokaler som ofta har en artrik mossflora som kräver jämn och hög markfuktighet, till exempel olika sumpskogar med höga naturvärden. Högst signalvärde har arten i södra och mellersta Sverige. Skogshakmossa är typisk art för </w:t>
      </w:r>
      <w:r>
        <w:rPr>
          <w:i/>
        </w:rPr>
        <w:t xml:space="preserve">9010 Taiga, 9050 Näringsrik granskog, 9080 Lövsumpskog </w:t>
      </w:r>
      <w:r>
        <w:t xml:space="preserve">och </w:t>
      </w:r>
      <w:r>
        <w:rPr>
          <w:i/>
        </w:rPr>
        <w:t xml:space="preserve">9750 Svämlövskog </w:t>
      </w:r>
      <w:r>
        <w:t>(Nitare &amp; Skogsstyrelsen, 2019; SLU Artdatabanken, 2025).</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Fridlysta arter</w:t>
      </w:r>
    </w:p>
    <w:p>
      <w:r>
        <w:t>Följande fridlysta arter har sina livsmiljöer och växtplatser i den avverkningsanmälda skogen: mindre hackspett (NT, §4), nordfladdermus (NT, §4a), talltita (NT, §4), vattenfladdermus (§4a),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Mattlummer (§9)</w:t>
      </w:r>
      <w:r>
        <w:t xml:space="preserve"> är typisk art för </w:t>
      </w:r>
      <w:r>
        <w:rPr>
          <w:i/>
        </w:rPr>
        <w:t xml:space="preserve">9010 Taiga </w:t>
      </w:r>
      <w:r>
        <w:t>(SLU Artdatabanken, 2025).</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Mindre hackspett är typisk art för </w:t>
      </w:r>
      <w:r>
        <w:rPr>
          <w:i/>
        </w:rPr>
        <w:t>9010 Taiga, 9750 Svämlövskog, 9080 Lövsumpskog, 9030 Landhöjningsskog och 9040 Fjällbjörkskog</w:t>
      </w:r>
      <w:r>
        <w:t xml:space="preserve"> (SLU Artdatabanken, 2021; Skogsstyrelsen, 2016).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hackspett – ekologi samt krav på livsmiljön</w:t>
      </w:r>
    </w:p>
    <w:p>
      <w:r>
        <w:t xml:space="preserve">Mindre hackspett (NT) är rödlistad som nära hotad, fridlyst och prioriterad art i Skogsvårdslagen. Den är typisk art för </w:t>
      </w:r>
      <w:r>
        <w:rPr>
          <w:i/>
        </w:rPr>
        <w:t>9010 Taiga, 9750 Svämlövskog, 9080 Lövsumpskog, 9030 Landhöjningsskog och 9040 Fjällbjörkskog</w:t>
      </w:r>
      <w:r>
        <w:t>.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