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49765-2022 i Smedjebackens kommun</w:t>
      </w:r>
    </w:p>
    <w:p>
      <w:r>
        <w:t>Denna tillsynsbegäran behandlar höga naturvärden i avverkningsanmälan A 49765-2022 i Smedjebackens kommun som inkom 2022-10-25 och omfattar 6,3 ha.</w:t>
      </w:r>
    </w:p>
    <w:p>
      <w:pPr>
        <w:pStyle w:val="Caption"/>
      </w:pPr>
      <w:r>
        <w:drawing>
          <wp:inline xmlns:a="http://schemas.openxmlformats.org/drawingml/2006/main" xmlns:pic="http://schemas.openxmlformats.org/drawingml/2006/picture">
            <wp:extent cx="5486400" cy="5065965"/>
            <wp:docPr id="1" name="Picture 1"/>
            <wp:cNvGraphicFramePr>
              <a:graphicFrameLocks noChangeAspect="1"/>
            </wp:cNvGraphicFramePr>
            <a:graphic>
              <a:graphicData uri="http://schemas.openxmlformats.org/drawingml/2006/picture">
                <pic:pic>
                  <pic:nvPicPr>
                    <pic:cNvPr id="0" name="A 49765-2022 karta.png"/>
                    <pic:cNvPicPr/>
                  </pic:nvPicPr>
                  <pic:blipFill>
                    <a:blip r:embed="rId16"/>
                    <a:stretch>
                      <a:fillRect/>
                    </a:stretch>
                  </pic:blipFill>
                  <pic:spPr>
                    <a:xfrm>
                      <a:off x="0" y="0"/>
                      <a:ext cx="5486400" cy="5065965"/>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har ett svart streck som visar fyndplatsens exakta position. Kartans mittpunktskoordinat är N 6668691, E 516610 i SWEREF 99 TM.</w:t>
      </w:r>
    </w:p>
    <w:p>
      <w:r>
        <w:t>I och inom 19 meter från avverkningsanmälan finns fynd av 11 naturvårdsarter, varav 8 är rödlistade, 5 är fridlysta, 5 är typiska (T) och 1 är signalart (S): knärot (VU, T, §8), läderdoftande fingersvamp (VU), taggfingersvamp (VU), fjällig taggsvamp s.str. (NT), gultoppig fingersvamp (NT), rynkskinn (NT, T), tretåig hackspett (NT, T, §4), vågticka (NT), grönkulla (S, T, §8), blåsippa (T, §9) och nattviol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2.10 ha med buffertzonerna och får av detta skäl inte avverkas.</w:t>
      </w:r>
    </w:p>
    <w:p>
      <w:pPr>
        <w:pStyle w:val="Caption"/>
      </w:pPr>
      <w:r>
        <w:drawing>
          <wp:inline xmlns:a="http://schemas.openxmlformats.org/drawingml/2006/main" xmlns:pic="http://schemas.openxmlformats.org/drawingml/2006/picture">
            <wp:extent cx="5486400" cy="4928333"/>
            <wp:docPr id="2" name="Picture 2"/>
            <wp:cNvGraphicFramePr>
              <a:graphicFrameLocks noChangeAspect="1"/>
            </wp:cNvGraphicFramePr>
            <a:graphic>
              <a:graphicData uri="http://schemas.openxmlformats.org/drawingml/2006/picture">
                <pic:pic>
                  <pic:nvPicPr>
                    <pic:cNvPr id="0" name="A 49765-2022 karta knärot.png"/>
                    <pic:cNvPicPr/>
                  </pic:nvPicPr>
                  <pic:blipFill>
                    <a:blip r:embed="rId17"/>
                    <a:stretch>
                      <a:fillRect/>
                    </a:stretch>
                  </pic:blipFill>
                  <pic:spPr>
                    <a:xfrm>
                      <a:off x="0" y="0"/>
                      <a:ext cx="5486400" cy="492833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6668691, E 516610 i SWEREF 99 TM.</w:t>
      </w:r>
    </w:p>
    <w:p>
      <w:r>
        <w:rPr>
          <w:b/>
        </w:rPr>
        <w:t xml:space="preserve">Läderdoftande fingersvamp (VU) </w:t>
      </w:r>
      <w:r>
        <w:t>bildar mykorrhiza med gran i örtrik äldre barrskog, ofta på kalkrik mark. Den har en speciell doft som kan påminna om nytt skoläder (skoaffär), därav det svenska namnet. Den totala populationen i landet bedöms ändå ha minskat starkt och fortsatt kommer att minska då arten är knuten till en bördig äldre kalkgranskogsmiljö som successivt avverkas och där få områden alltjämt är formellt skyddade. All form av hårdhänt skogsavverkning på eller i närheten av växtplatsen missgynnar arten. Artens huvudsakliga koppling till produktiva äldre granskogar med hög bonitet gör den särskilt utsatt för slutavverkning. Samtliga lokaler bör undantas från rationellt skogsbruk och få ett områdesskydd (SLU Artdatabanken, 2024; Nitare &amp; Skogsstyrelsen, 2019).</w:t>
      </w:r>
    </w:p>
    <w:p>
      <w:r>
        <w:rPr>
          <w:b/>
        </w:rPr>
        <w:t xml:space="preserve">Taggfingersvamp (VU) </w:t>
      </w:r>
      <w:r>
        <w:t>är knuten till granskogar med långvarig kontinuitet och bildar mykorrhiza med gran på rikare mark. Den totala populationen i landet bedöms ha minskat kraftigt och fortgående att minska, huvudsakligen p.g.a. att arealen örtrik äldre granskog har minskat de senaste 50 åren. Den hotas främst av skogsavverkning och tycks försvinna efter slutavverkning, markberedning och plantering och det saknas uppgifter om fynd i planterad skog eller sekundär granskog uppkommen på kalmark. Taggfingersvamp är placerad högst upp i Skogsstyrelsens värdepyramid för bedömning av skog med höga naturvärden. Områdesskydd är en viktig åtgärd för att bevara artens förekomster (SLU Artdatabanken, 2024; Nitare &amp; Skogsstyrelsen, 2019).</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Vågticka (NT) </w:t>
      </w:r>
      <w:r>
        <w:t>förekommer främst i rikare kontinuitetsskogar med mycket död ved. Den växer på grova lågor och stubbar av gran och asp, men ibland även på andra trädslag.  Arten missgynnas av slutavverkning av äldre barrskog med lång skoglig kontinuitet, men även av skogliga åtgärder som t.ex. markberedning som förstör lågor. Minskningstakten för den svenska populationen bedöms vara nära gränsvärdet för sårbar (VU) (SLU Artdatabanken, 2026).</w:t>
      </w:r>
    </w:p>
    <w:p>
      <w:r>
        <w:rPr>
          <w:b/>
        </w:rPr>
        <w:t xml:space="preserve">Grönkulla (§8) </w:t>
      </w:r>
      <w:r>
        <w:t xml:space="preserve">är typisk art för </w:t>
      </w:r>
      <w:r>
        <w:rPr>
          <w:i/>
        </w:rPr>
        <w:t xml:space="preserve">9040 Fjällbjörkskog, 9070 Trädklädd betesmark, 6170 Alpina kalkgräsmarker, 6520 Höglänta slåtterängar </w:t>
      </w:r>
      <w:r>
        <w:t>och</w:t>
      </w:r>
      <w:r>
        <w:rPr>
          <w:i/>
        </w:rPr>
        <w:t xml:space="preserve"> 6210 Kalkgräsmarker </w:t>
      </w:r>
      <w:r>
        <w:t>(SLU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rynkskinn (NT, T), tretåig hackspett (NT, T, §4), grönkulla (S, T, §8) och blåsippa (T, §9).</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