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38991-2026 i Smedjebackens kommun</w:t>
      </w:r>
    </w:p>
    <w:p>
      <w:r>
        <w:t>Detta klagomål behandlar höga naturvärden i avverkningsanmälan A 38991-2026 i Smedjebackens kommun som inkom 2026-09-18 och omfattar 27,4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38991-2026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6671897, E 536136 i SWEREF 99 TM.</w:t>
      </w:r>
    </w:p>
    <w:p>
      <w:r>
        <w:t>I och inom 10 meter från avverkningsanmälan finns fynd av 12 naturvårdsarter, varav 3 är rödlistade, 7 är fridlysta, 9 är typiska (T) och 3 är signalarter (S): knärot (VU, T, §8), dropptaggsvamp (NT, T), veckticka (NT, T), barkkornlav (S, T), bårdlav (S, T), korallrot (S, T, §8), blåsippa (T, §9), gråspett (T, §4), skriftlav (T), fläcknycklar (§8),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1.00 ha med buffertzonerna och får av detta skäl inte avverkas.</w:t>
      </w:r>
    </w:p>
    <w:p>
      <w:pPr>
        <w:pStyle w:val="Caption"/>
      </w:pPr>
      <w:r>
        <w:drawing>
          <wp:inline xmlns:a="http://schemas.openxmlformats.org/drawingml/2006/main" xmlns:pic="http://schemas.openxmlformats.org/drawingml/2006/picture">
            <wp:extent cx="5486400" cy="4901938"/>
            <wp:docPr id="2" name="Picture 2"/>
            <wp:cNvGraphicFramePr>
              <a:graphicFrameLocks noChangeAspect="1"/>
            </wp:cNvGraphicFramePr>
            <a:graphic>
              <a:graphicData uri="http://schemas.openxmlformats.org/drawingml/2006/picture">
                <pic:pic>
                  <pic:nvPicPr>
                    <pic:cNvPr id="0" name="A 38991-2026 karta knärot.png"/>
                    <pic:cNvPicPr/>
                  </pic:nvPicPr>
                  <pic:blipFill>
                    <a:blip r:embed="rId17"/>
                    <a:stretch>
                      <a:fillRect/>
                    </a:stretch>
                  </pic:blipFill>
                  <pic:spPr>
                    <a:xfrm>
                      <a:off x="0" y="0"/>
                      <a:ext cx="5486400" cy="49019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6671897, E 536136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Skriftlav</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