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60678-2024 i Smedjebackens kommun</w:t>
      </w:r>
    </w:p>
    <w:p>
      <w:r>
        <w:t>Denna tillsynsbegäran behandlar höga naturvärden i avverkningsanmälan A 60678-2024 i Smedjebackens kommun som inkom 2024-12-18 och omfattar 1,9 ha.</w:t>
      </w:r>
    </w:p>
    <w:p>
      <w:pPr>
        <w:pStyle w:val="Caption"/>
      </w:pPr>
      <w:r>
        <w:drawing>
          <wp:inline xmlns:a="http://schemas.openxmlformats.org/drawingml/2006/main" xmlns:pic="http://schemas.openxmlformats.org/drawingml/2006/picture">
            <wp:extent cx="5486400" cy="4164762"/>
            <wp:docPr id="1" name="Picture 1"/>
            <wp:cNvGraphicFramePr>
              <a:graphicFrameLocks noChangeAspect="1"/>
            </wp:cNvGraphicFramePr>
            <a:graphic>
              <a:graphicData uri="http://schemas.openxmlformats.org/drawingml/2006/picture">
                <pic:pic>
                  <pic:nvPicPr>
                    <pic:cNvPr id="0" name="A 60678-2024 karta.png"/>
                    <pic:cNvPicPr/>
                  </pic:nvPicPr>
                  <pic:blipFill>
                    <a:blip r:embed="rId16"/>
                    <a:stretch>
                      <a:fillRect/>
                    </a:stretch>
                  </pic:blipFill>
                  <pic:spPr>
                    <a:xfrm>
                      <a:off x="0" y="0"/>
                      <a:ext cx="5486400" cy="416476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6665654, E 520074 i SWEREF 99 TM.</w:t>
      </w:r>
    </w:p>
    <w:p>
      <w:r>
        <w:t>Inom 24 meter från avverkningsanmälan finns fynd av 5 naturvårdsarter, varav 2 är rödlistade, 5 är fridlysta och 1 är typisk (T): brun gräsfjäril (VU, §4a), väddnätfjäril (VU, §6), mattlummer (T, §9),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