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4215-2023 i Smedjebackens kommun</w:t>
      </w:r>
    </w:p>
    <w:p>
      <w:r>
        <w:t>Denna tillsynsbegäran behandlar höga naturvärden i samrådsanmälan S 4215-2023 i Smedjebackens kommun som inkom 2023-11-21 och omfattar 5,1 ha.</w:t>
      </w:r>
    </w:p>
    <w:p>
      <w:pPr>
        <w:pStyle w:val="Caption"/>
      </w:pPr>
      <w:r>
        <w:drawing>
          <wp:inline xmlns:a="http://schemas.openxmlformats.org/drawingml/2006/main" xmlns:pic="http://schemas.openxmlformats.org/drawingml/2006/picture">
            <wp:extent cx="5340433" cy="5724000"/>
            <wp:docPr id="1" name="Picture 1"/>
            <wp:cNvGraphicFramePr>
              <a:graphicFrameLocks noChangeAspect="1"/>
            </wp:cNvGraphicFramePr>
            <a:graphic>
              <a:graphicData uri="http://schemas.openxmlformats.org/drawingml/2006/picture">
                <pic:pic>
                  <pic:nvPicPr>
                    <pic:cNvPr id="0" name="S 4215-2023 karta.png"/>
                    <pic:cNvPicPr/>
                  </pic:nvPicPr>
                  <pic:blipFill>
                    <a:blip r:embed="rId16"/>
                    <a:stretch>
                      <a:fillRect/>
                    </a:stretch>
                  </pic:blipFill>
                  <pic:spPr>
                    <a:xfrm>
                      <a:off x="0" y="0"/>
                      <a:ext cx="5340433"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6668797, E 537722 i SWEREF 99 TM.</w:t>
      </w:r>
    </w:p>
    <w:p>
      <w:r>
        <w:t>I och inom 23 meter från samrådsanmälan finns fynd av 4 naturvårdsarter, varav 1 är rödlistad, 4 är fridlysta och 1 är typisk (T): grönsångare (NT, §4), spillkråka (T, §4), buskmus (§4a)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