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42272-2021 i Smedjebackens kommun</w:t>
      </w:r>
    </w:p>
    <w:p>
      <w:r>
        <w:t>Denna tillsynsbegäran behandlar höga naturvärden i avverkningsanmälan A 42272-2021 i Smedjebackens kommun som inkom 2021-08-18 och omfattar 23,7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2272-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6663742, E 536122 i SWEREF 99 TM.</w:t>
      </w:r>
    </w:p>
    <w:p>
      <w:r>
        <w:t>I avverkningsanmälan finns fynd av 11 naturvårdsarter, varav 5 är rödlistade, 3 är fridlysta, 6 är typiska (T) och 4 är signalarter (S): knärot (VU, T, §8), mörk kådsvartspik (VU), röd kådsvartspik (VU), kattfotslav (NT, T), stjärntagging (NT, T), bronshjon (S, T), jättesvampmal (S), rostfläck (S, T), vedticka (S, T),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42272-2021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6663742, E 536122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Röd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förekomst av arten bör undantas från skogsbruksåtgärder. Röd kådsvartspik är globalt rödlistad som sårbar (VU) vilket innebär att Sverige har ett internationellt ansvar för arten (SLU Artdatabanken, 2026; IUCN, 2020).</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stjärntagging (NT, T), bronshjon (S, T), rostfläck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