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35890-2025 i Smedjebackens kommun</w:t>
      </w:r>
    </w:p>
    <w:p>
      <w:r>
        <w:t>Detta klagomål behandlar höga naturvärden i avverkningsanmälan A 35890-2025 i Smedjebackens kommun som inkom 2025-07-24 och omfattar 0,7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5890-2025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6669340, E 516266 i SWEREF 99 TM.</w:t>
      </w:r>
    </w:p>
    <w:p>
      <w:r>
        <w:t>Inom 15 meter från avverkningsanmälan finns fynd av 7 naturvårdsarter, varav 1 är fridlyst, 7 är typiska (T) och 6 är signalarter (S): bågpraktmossa (S, T), grov baronmossa (S, T), guldlockmossa (S, T), stenporella (S, T), svart trolldruva (S, T), trädporella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Grov baronmossa</w:t>
      </w:r>
      <w:r>
        <w:t xml:space="preserve"> är näringskrävande och kalkgynnad. Den växer mest i skuggig skogsmiljö, antingen i ädellövskog eller i bergbranter på relativt torra, men beskuggade bergväggar och block av basiska bergarter. Den växer även vid basen av solitära eller halvöppet stående gamla ädellövträd, bland annat på mycket gamla ekar och lindar, men också på ask, lönn, bok och alm. Grov baronmossa är typisk art för </w:t>
      </w:r>
      <w:r>
        <w:rPr>
          <w:i/>
        </w:rPr>
        <w:t xml:space="preserve">9020 Nordlig ädellövskog, 9130 Näringsrik bokskog, 9160 Näringsrik ekskog </w:t>
      </w:r>
      <w:r>
        <w:t>och</w:t>
      </w:r>
      <w:r>
        <w:rPr>
          <w:i/>
        </w:rPr>
        <w:t xml:space="preserve"> 9180 Ädellövskog i branter</w:t>
      </w:r>
      <w:r>
        <w:t xml:space="preserve"> (Nitare &amp; Skogsstyrelsen, 2019; SLU Artdatabanken, 2025).</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Stenporella</w:t>
      </w:r>
      <w:r>
        <w:t xml:space="preserve"> är i stora delar av landet en god signalart för skogsmiljöer med höga naturvärden. Den är beroende av konstant hög luftfuktighet och på dess lokaler förekommer ofta rödlistade mossor och lavar. Stenporella är typisk art för </w:t>
      </w:r>
      <w:r>
        <w:rPr>
          <w:i/>
        </w:rPr>
        <w:t xml:space="preserve">9750 Svämlövskog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