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57321-2024 i Smedjebackens kommun</w:t>
      </w:r>
    </w:p>
    <w:p>
      <w:r>
        <w:t>Detta klagomål behandlar höga naturvärden i avverkningsanmälan A 57321-2024 i Smedjebackens kommun som inkom 2024-12-03 och omfattar 4,1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57321-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6671726, E 534909 i SWEREF 99 TM.</w:t>
      </w:r>
    </w:p>
    <w:p>
      <w:r>
        <w:t>I och inom 25 meter från avverkningsanmälan finns fynd av 20 naturvårdsarter, varav 10 är rödlistade, 5 är fridlysta, 16 är typiska (T) och 6 är signalarter (S): gul taggsvamp (VU, T), knärot (VU, T, §8), dofttaggsvamp (NT, T), gropticka (NT, T), rovspindling (NT), rynkskinn (NT, T), tretåig hackspett (NT, T, §4), ullticka (NT, T), vedtrappmossa (NT, T), vårärt (NT, T), blåmossa (S, T), bollvitmossa (S, T), svavelriska (S), tibast (S, T), trådticka (S, T), vedticka (S, T), blåsippa (T, §9), liljekonvalj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57321-2024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6671726, E 534909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