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42272-2021 i Smedjebackens kommun</w:t>
      </w:r>
    </w:p>
    <w:p>
      <w:r>
        <w:t>Detta dokument behandlar höga naturvärden i avverkningsanmälan A 42272-2021 i Smedjebackens kommun. Denna avverkningsanmälan inkom 2021-08-18 och omfattar 23,7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11 naturvårdsarter hittats: knärot (VU, §8), stjärntagging (NT), mörk kådsvartspik (DD), röd kådsvartspik (DD), bronshjon (S), jättesvampmal (S), kattfotslav (S), rostfläck (S), vedticka (S), kungsfågel (§4) och sångsvan (§4). Av dessa är 4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93276"/>
            <wp:docPr id="1" name="Picture 1"/>
            <wp:cNvGraphicFramePr>
              <a:graphicFrameLocks noChangeAspect="1"/>
            </wp:cNvGraphicFramePr>
            <a:graphic>
              <a:graphicData uri="http://schemas.openxmlformats.org/drawingml/2006/picture">
                <pic:pic>
                  <pic:nvPicPr>
                    <pic:cNvPr id="0" name="A 42272-2021 karta.png"/>
                    <pic:cNvPicPr/>
                  </pic:nvPicPr>
                  <pic:blipFill>
                    <a:blip r:embed="rId16"/>
                    <a:stretch>
                      <a:fillRect/>
                    </a:stretch>
                  </pic:blipFill>
                  <pic:spPr>
                    <a:xfrm>
                      <a:off x="0" y="0"/>
                      <a:ext cx="5486400" cy="489327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6663742, E 536122 i SWEREF 99 TM.</w:t>
      </w:r>
    </w:p>
    <w:p>
      <w:r>
        <w:rPr>
          <w:b/>
        </w:rPr>
        <w:t xml:space="preserve">Kattfotslav </w:t>
      </w:r>
      <w:r>
        <w:t>är en mycket god signalart i hela sitt svenska utbredningsområde och skogsbestånd med kattfotslav är alltid värdefulla ur naturvårdssynpunkt. Arten indikerar dels ett mikroklimat med konstant hög luftfuktighet, dels kontinuitet av äldre träd och god trädslutenhet. Trots att den är vanligare i sydvästra Sverige växer den enbart i skogsbestånd med höga naturvärden. Den är känslig för skogliga ingrepp som kan förändra lokal- och mikroklimat (Nitare &amp; Skogsstyrelsen, 2019).</w:t>
      </w:r>
    </w:p>
    <w:p>
      <w:r>
        <w:rPr>
          <w:b/>
        </w:rPr>
        <w:t>Stjärntagging (NT)</w:t>
      </w:r>
      <w:r>
        <w:t xml:space="preserve"> signalerar inom hela sitt utbredningsområde höga naturvärden. Svampen är uttorkningskänslig och beroende av ett oförändrat fuktigt mikroklimat. Den är även beroende av en ständig tillgång på död ved i olika nedbrytningsstadier, dock ej nödvändigtvis grova träd. Tidigare påverkan på miljön måste dock ha varit så skonsam att det naturliga skogsekosystemet till stora delar har bevarats. Minskningstakten för den svenska populationen bedöms vara nära gränsvärdet för Sårbar (VU) (SLU Artdatabanken, 2024; Nitare &amp; Skogsstyrelsen, 2019).</w:t>
      </w:r>
    </w:p>
    <w:p>
      <w:pPr>
        <w:pStyle w:val="Heading1"/>
      </w:pPr>
      <w:r>
        <w:t>Fridlysta arter</w:t>
      </w:r>
    </w:p>
    <w:p>
      <w:r>
        <w:t>Följande fridlysta arter har sina livsmiljöer och växtplatser i den avverkningsanmälda skogen: knärot (VU, §8), kungsfågel (§4) och sångsvan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7 fyndplatser för knärot registrerade på Artportalen. Figur 2 visar gränserna för buffertzoner på 50 m, som behöver lämnas kring fyndplatserna för att knärotslokalerna inte ska försvinna vid en avverkning. Av det avverkningsanmälda området överlappar 3.78 ha med buffertzonerna och får av detta skäl inte avverkas.</w:t>
      </w:r>
    </w:p>
    <w:p>
      <w:pPr>
        <w:pStyle w:val="Caption"/>
      </w:pPr>
      <w:r>
        <w:drawing>
          <wp:inline xmlns:a="http://schemas.openxmlformats.org/drawingml/2006/main" xmlns:pic="http://schemas.openxmlformats.org/drawingml/2006/picture">
            <wp:extent cx="5486400" cy="5997939"/>
            <wp:docPr id="2" name="Picture 2"/>
            <wp:cNvGraphicFramePr>
              <a:graphicFrameLocks noChangeAspect="1"/>
            </wp:cNvGraphicFramePr>
            <a:graphic>
              <a:graphicData uri="http://schemas.openxmlformats.org/drawingml/2006/picture">
                <pic:pic>
                  <pic:nvPicPr>
                    <pic:cNvPr id="0" name="A 42272-2021 karta knärot.png"/>
                    <pic:cNvPicPr/>
                  </pic:nvPicPr>
                  <pic:blipFill>
                    <a:blip r:embed="rId17"/>
                    <a:stretch>
                      <a:fillRect/>
                    </a:stretch>
                  </pic:blipFill>
                  <pic:spPr>
                    <a:xfrm>
                      <a:off x="0" y="0"/>
                      <a:ext cx="5486400" cy="5997939"/>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6663742, E 536122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2025-07-11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