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11591-2020 i Smedjebackens kommun</w:t>
      </w:r>
    </w:p>
    <w:p>
      <w:r>
        <w:t>Detta dokument behandlar höga naturvärden i avverkningsanmälan A 11591-2020 i Smedjebackens kommun. Denna avverkningsanmälan inkom 2020-03-03 och omfattar 23,3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vedticka (S), bredkantad dykare (§4a), större vattensalamander (§4a) och mindre vattensalamander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11591-2020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6654686, E 537553 i SWEREF 99 TM.</w:t>
      </w:r>
    </w:p>
    <w:p>
      <w:pPr>
        <w:pStyle w:val="Heading1"/>
      </w:pPr>
      <w:r>
        <w:t>Fridlysta arter</w:t>
      </w:r>
    </w:p>
    <w:p>
      <w:r>
        <w:t>Följande fridlysta arter har sina livsmiljöer och växtplatser i den avverkningsanmälda skogen: bredkantad dykare (§4a), större vattensalamander (§4a) och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