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25404-2026 i Smedjebackens kommun</w:t>
      </w:r>
    </w:p>
    <w:p>
      <w:r>
        <w:t>Denna tillsynsbegäran behandlar höga naturvärden i avverkningsanmälan A 25404-2026 i Smedjebackens kommun som inkom 2026-06-01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6670769, E 540153 i SWEREF 99 TM.</w:t>
      </w:r>
    </w:p>
    <w:p>
      <w:r>
        <w:t>I avverkningsanmälan finns fynd av 3 naturvårdsarter, varav 2 är rödlistade, 2 är fridlysta och 2 är typiska (T): pärluggla (EN, T, §4), skogshare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