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3569-2025 i Smedjebackens kommun</w:t>
      </w:r>
    </w:p>
    <w:p>
      <w:r>
        <w:t>Detta klagomål behandlar höga naturvärden i samrådsanmälan S 3569-2025 i Smedjebackens kommun som inkom 2025-12-18 och omfattar 1578,2 ha.</w:t>
      </w:r>
    </w:p>
    <w:p>
      <w:pPr>
        <w:pStyle w:val="Caption"/>
      </w:pPr>
      <w:r>
        <w:drawing>
          <wp:inline xmlns:a="http://schemas.openxmlformats.org/drawingml/2006/main" xmlns:pic="http://schemas.openxmlformats.org/drawingml/2006/picture">
            <wp:extent cx="5486400" cy="5450578"/>
            <wp:docPr id="1" name="Picture 1"/>
            <wp:cNvGraphicFramePr>
              <a:graphicFrameLocks noChangeAspect="1"/>
            </wp:cNvGraphicFramePr>
            <a:graphic>
              <a:graphicData uri="http://schemas.openxmlformats.org/drawingml/2006/picture">
                <pic:pic>
                  <pic:nvPicPr>
                    <pic:cNvPr id="0" name="S 3569-2025 karta.png"/>
                    <pic:cNvPicPr/>
                  </pic:nvPicPr>
                  <pic:blipFill>
                    <a:blip r:embed="rId16"/>
                    <a:stretch>
                      <a:fillRect/>
                    </a:stretch>
                  </pic:blipFill>
                  <pic:spPr>
                    <a:xfrm>
                      <a:off x="0" y="0"/>
                      <a:ext cx="5486400" cy="5450578"/>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6647950, E 524135 i SWEREF 99 TM.</w:t>
      </w:r>
    </w:p>
    <w:p>
      <w:r>
        <w:t>I och inom 24 meter från samrådsanmälan finns fynd av 13 naturvårdsarter, varav 6 är rödlistade, 7 är fridlysta, 6 är typiska (T) och 1 är signalart (S): vedsäckmossa (VU), blå säckmossa (NT), blå taggsvamp (NT, T), grantaggsvamp (NT), gullpudra (NT, T), kricka (NT, §4), bågpraktmossa (S, T), mattlummer (T, §9), spillkråka (T, §4), tjäder (T, §4), vanlig groda (§6),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Vedsäckmossa (VU)</w:t>
      </w:r>
      <w:r>
        <w:t xml:space="preserve"> växer på grova lågor, framför allt i näringsrika, fuktiga och urskogsartade granskogar. Arten är placerad högst upp i Skogsstyrelsens värdepyramid för bedömning av skog med höga naturvärden och signalerar naturskog med höga naturvärden. Den indikerar även skyddsvärda alsumpskogar med riklig och kontinuerlig förekomst av död ved. Kända lokaler bör ges ett ändamålsenligt skydd och undantas från skogsbruk. Lokalerna behöver också vara tillräckligt stora så att god tillgång på lämplig ved tryggas på lång sikt (SLU Artdatabanken, 2024; Nitare &amp; Skogsstyrelsen, 2019).</w:t>
      </w:r>
    </w:p>
    <w:p>
      <w:r>
        <w:rPr>
          <w:b/>
        </w:rPr>
        <w:t>Blå säckmossa (NT)</w:t>
      </w:r>
      <w:r>
        <w:t xml:space="preserve"> växer vanligen på fuktig humus eller lerblandad jord i granskog men även på lövförna i sumpalskog, gärna i anslutning till källor eller andra utströmningsområden. Liksom övriga säckmossor tål arten varken uttorkning eller full solbelysning någon längre tid. Till skillnad från övriga arter i släktet föredrar blå säckmossa relativt näringsrika skogar och ofta skogsmiljöer med rörligt grundvatten. Största hotet utgörs av kalavverkning och andra skogliga brukningsformer som innebär kraftig ljusexponering av växtplatserna eller som gör att plantorna torkar upp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