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924-2023 i Smedjebackens kommun</w:t>
      </w:r>
    </w:p>
    <w:p>
      <w:r>
        <w:t>Denna tillsynsbegäran behandlar höga naturvärden i samrådsanmälan S 924-2023 i Smedjebackens kommun som inkom 2023-03-14 och omfattar 2440,6 ha.</w:t>
      </w:r>
    </w:p>
    <w:p>
      <w:pPr>
        <w:pStyle w:val="Caption"/>
      </w:pPr>
      <w:r>
        <w:drawing>
          <wp:inline xmlns:a="http://schemas.openxmlformats.org/drawingml/2006/main" xmlns:pic="http://schemas.openxmlformats.org/drawingml/2006/picture">
            <wp:extent cx="5475947" cy="5724000"/>
            <wp:docPr id="1" name="Picture 1"/>
            <wp:cNvGraphicFramePr>
              <a:graphicFrameLocks noChangeAspect="1"/>
            </wp:cNvGraphicFramePr>
            <a:graphic>
              <a:graphicData uri="http://schemas.openxmlformats.org/drawingml/2006/picture">
                <pic:pic>
                  <pic:nvPicPr>
                    <pic:cNvPr id="0" name="S 924-2023 karta.png"/>
                    <pic:cNvPicPr/>
                  </pic:nvPicPr>
                  <pic:blipFill>
                    <a:blip r:embed="rId16"/>
                    <a:stretch>
                      <a:fillRect/>
                    </a:stretch>
                  </pic:blipFill>
                  <pic:spPr>
                    <a:xfrm>
                      <a:off x="0" y="0"/>
                      <a:ext cx="5475947" cy="5724000"/>
                    </a:xfrm>
                    <a:prstGeom prst="rect"/>
                  </pic:spPr>
                </pic:pic>
              </a:graphicData>
            </a:graphic>
          </wp:inline>
        </w:drawing>
      </w:r>
    </w:p>
    <w:p>
      <w:pPr>
        <w:pStyle w:val="Caption"/>
        <w:spacing w:after="240"/>
      </w:pPr>
      <w:r>
        <w:t>Figur 1. Fyndplatser för naturvårdsarter i och inom 25 meter från samrådsanmälan. Markörer utan svart kant är placerade på fyndplatsen. Markörer med svart kant är placerade vid sidan av fyndplatsen och har ett svart streck som visar fyndplatsens exakta position. Kartans mittpunktskoordinat är N 6655168, E 520887 i SWEREF 99 TM.</w:t>
      </w:r>
    </w:p>
    <w:p>
      <w:r>
        <w:t>I och inom 25 meter från samrådsanmälan finns fynd av 30 naturvårdsarter, varav 22 är rödlistade, 3 är fridlysta, 10 är typiska (T) och 5 är signalarter (S): bitter taggsvamp (EN), koppartaggsvamp (EN), allékantlav (VU), aspgelélav (VU, T), grangråticka (VU, T), gul taggsvamp (VU, T), gyllenspindling (VU), kopparspindling (VU), läderdoftande fingersvamp (VU), stor odörspindling (VU), ängsklint (VU), dofttaggsvamp (NT, T), dropptaggsvamp (NT, T), fjällig taggsvamp s.str. (NT), grantaggsvamp (NT), gultoppig fingersvamp (NT), kryddspindling (NT, T), mjölsvärting (NT), skarp dropptaggsvamp (NT), skogshare (NT), tjockfotad fingersvamp (NT), veckticka (NT, T), diskvaxskivling (S), rävticka (S, T), strimspindling (S), svavelriska (S), zontaggsvamp (S), blåsippa (T, §9), tjäder (T, §4)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 xml:space="preserve">Bitter taggsvamp (EN) </w:t>
      </w:r>
      <w:r>
        <w:t>är en sällsynt och starkt hotad ”toppart” som bildar mykorrhiza med gran, möjligen även med tall, i äldre barrskogar med lång kontinuitet. Förekommer på kalkrik eller annan basiskt påverkad mark, främst i miljöer med hög luftfuktighet. Svampen har i friskt tillstånd en säregen doft av bittermandelolja och fruktköttet är mycket bittert i smaken. Arten hotas främst av avverkning och tål inte en slutavverkning utan kräver ett kontinuerligt äldre trädskikt med gran. Äldre barrskogar med basisk påverkan och lång kontinuitet, även små områden, har ett mycket högt skyddsvärde och bör i största möjliga utsträckning undantas från trakthyggesbruk. Slutavverkning, kraftig gallring och skogsmarksgödsling måste helt undvikas, liksom körning med tunga maskiner. Lokalerna bör skyddas formellt. Bitter taggsvamp ingår i ett åtgärdsprogram för hotade arter (ÅGP) och är placerad högst upp i Skogsstyrelsens värdepyramid för bedömning av skog med höga naturvärden (SLU Artdatabanken, 2026; Nitare &amp; Skogsstyrelsen, 2019; Nitare 2006).</w:t>
      </w:r>
    </w:p>
    <w:p>
      <w:r>
        <w:rPr>
          <w:b/>
        </w:rPr>
        <w:t xml:space="preserve">Koppartaggsvamp (EN) </w:t>
      </w:r>
      <w:r>
        <w:t>är en starkt hotad svamp som bildar mykorrhiza med gran i örtrik äldre granskog på kalkrik mark. Arten är en mycket bra indikator på skyddsvärda kalkgranskogar och påfallande ofta växer den tillsammans med raggtaggsvamp (EN). Koppartaggsvamp ingår i ett åtgärdsprogram för hotade arter (ÅGP) och dess långsiktiga överlevnad säkras genom att växtplatserna undantas från avverkning. Den totala populationen i landet har minskat kraftigt och minskningstakten, som uppgår till 50 (30–70) % inom 50 år, överstiger gränsvärdet för starkt hotad (EN) (SLU Artdatabanken, 2026; Nitare &amp; Skogsstyrelsen, 2019; Nitare, 2006).</w:t>
      </w:r>
    </w:p>
    <w:p>
      <w:r>
        <w:rPr>
          <w:b/>
        </w:rPr>
        <w:t>Allékantlav (VU)</w:t>
      </w:r>
      <w:r>
        <w:t xml:space="preserve"> är en skorplav som i norra Sverige växer på asp i barrskogar med hög luftfuktighet. I södra Sverige växer den på grova ädellövträd (oftast ask och alm) i ängs- och hagmark, i alléer, parker och på kyrkogårdar. Växtplatserna är öppna till halvöppna och ofta dammimpregnerade av en grusväg eller åker i närheten. I norra Sverige är avverkning av lövrika barrskogar och att det nyskapas få lövbrännor de största hoten. I södra och mellersta Sverige är det viktigt att nya lämpliga träd nyskapas i närheten av förekomster. Vidare bör dammimpregnering bibehållas om en sådan finns. I norra Sverige bör ett antal lokaler skyddas och avverkning av lövrika barrskogar undvikas (SLU Artdatabanken, 2025).</w:t>
      </w:r>
    </w:p>
    <w:p>
      <w:r>
        <w:rPr>
          <w:b/>
        </w:rPr>
        <w:t>Aspgelélav (VU)</w:t>
      </w:r>
      <w:r>
        <w:t xml:space="preserve"> växer praktiskt taget enbart på asp i skog med hög luftfuktighet. Aspgelélav missgynnas vid slutavverkning. I norra Sverige hotas arten genom slutavverkning av äldre barrskog med åldriga aspar, ofta på skogsbergens sluttningar. Arten försvinner på aspar som lämnas kvar på hyggen. Aspgelélav (VU) är typisk art för </w:t>
      </w:r>
      <w:r>
        <w:rPr>
          <w:i/>
        </w:rPr>
        <w:t>9010 Taiga</w:t>
      </w:r>
      <w:r>
        <w:t xml:space="preserve"> (SLU Artdatabanken, 2024).</w:t>
      </w:r>
    </w:p>
    <w:p>
      <w:r>
        <w:rPr>
          <w:b/>
        </w:rPr>
        <w:t>Grangråticka (VU)</w:t>
      </w:r>
      <w:r>
        <w:t xml:space="preserve"> bildar mykorrhiza med gran och påträffas på kalkrik mark i örtrika granskogar med t.ex. blåsippa, harsyra och ekorrbär i fältskiktet. Arten är beroende av långvarig kontinuitet av äldre gran och tål ingen slutavverkning (kalhuggning). Lokaler med grangråticka är alltid skyddsvärda och bör skötas med stor varsamhet. Grangråticka är typisk art för </w:t>
      </w:r>
      <w:r>
        <w:rPr>
          <w:i/>
        </w:rPr>
        <w:t>9050 Näringsrik granskog</w:t>
      </w:r>
      <w:r>
        <w:t xml:space="preserve"> (SLU Artdatabanken, 2024; Nitare &amp; Skogsstyrelsen, 2019).</w:t>
      </w:r>
    </w:p>
    <w:p>
      <w:r>
        <w:rPr>
          <w:b/>
        </w:rPr>
        <w:t xml:space="preserve">Gul taggsvamp (VU) </w:t>
      </w:r>
      <w:r>
        <w:t xml:space="preserve">bildar mykorrhiza med gran i äldre barrskog med lång kontinuitet. Förekommer på kalkrik eller annan basiskt påverkad mark, ofta i källpåverkade miljöer. Den totala populationen i landet har minskat kraftigt och bedöms fortsätta minska till följd av avverkning av äldre barrskog med lång trädkontinuitet. Minskningstakten överstiger gränsvärdet för sårbar (VU). Arten tål inte en slutavverkning utan kräver ett kontinuerligt äldre trädskikt med gran. Slutavverkning, kraftig gallring och skogsmarksgödsling måste helt undvikas och lokalerna bör skyddas formellt. Gul taggsvamp är typisk art för </w:t>
      </w:r>
      <w:r>
        <w:rPr>
          <w:i/>
        </w:rPr>
        <w:t>9050 Näringsrik granskog</w:t>
      </w:r>
      <w:r>
        <w:t xml:space="preserve"> (SLU Artdatabanken, 2026).</w:t>
      </w:r>
    </w:p>
    <w:p>
      <w:r>
        <w:rPr>
          <w:b/>
        </w:rPr>
        <w:t>Gyllenspindling (VU)</w:t>
      </w:r>
      <w:r>
        <w:t xml:space="preserve"> bildar mykorrhiza med gran i ängsgranskog på kalkrik mark, mer sällan med tall i kalktallskog. Minskningstakten uppgår till 30 % inom 50 år och överstiger gränsvärdet för Sårbar (VU) enligt A-kriteriet. Skogsbruk med kalavverkning, markberedning etc. är ogynnsamt för arten. Barrskog på kalkrik mark är en synnerligen skyddsvärd biotop varav fler områden behöver skyddas (SLU Artdatabanken, 2024).</w:t>
      </w:r>
    </w:p>
    <w:p>
      <w:r>
        <w:rPr>
          <w:b/>
        </w:rPr>
        <w:t xml:space="preserve">Kopparspindling (VU) </w:t>
      </w:r>
      <w:r>
        <w:t>bildar mykorrhiza med tall och gran i äldre ängsgranskog på kalkrik mark, mer sällan i ren kalktallskog.</w:t>
      </w:r>
      <w:r>
        <w:rPr>
          <w:b/>
        </w:rPr>
        <w:t xml:space="preserve"> </w:t>
      </w:r>
      <w:r>
        <w:t>Minskningstakten uppgår till 30 % inom 50 år och överstiger gränsvärdet för Sårbar (VU) enligt A-kriteriet. (A2c+3c+4c).</w:t>
      </w:r>
      <w:r>
        <w:rPr>
          <w:b/>
        </w:rPr>
        <w:t xml:space="preserve"> </w:t>
      </w:r>
      <w:r>
        <w:t>Intensivt skogsbruk, särskilt kalavverkning och markberedning missgynnar arten och lokaler som även hyser ett stort antal andra hotade arter bör helt undantas från skogsbruk.</w:t>
      </w:r>
      <w:r>
        <w:rPr>
          <w:b/>
        </w:rPr>
        <w:t xml:space="preserve"> </w:t>
      </w:r>
      <w:r>
        <w:t>Kopparspindling är globalt rödlistad som nära hotad (NT) vilket innebär att Sverige har ett internationellt ansvar för arten (SLU Artdatabanken, 2024; IUCN, 2015).</w:t>
      </w:r>
    </w:p>
    <w:p>
      <w:r>
        <w:rPr>
          <w:b/>
        </w:rPr>
        <w:t xml:space="preserve">Läderdoftande fingersvamp (VU) </w:t>
      </w:r>
      <w:r>
        <w:t>bildar mykorrhiza med gran i örtrik äldre barrskog, ofta på kalkrik mark. Den har en speciell doft som kan påminna om nytt skoläder (skoaffär), därav det svenska namnet. Den totala populationen i landet bedöms ändå ha minskat starkt och fortsatt kommer att minska då arten är knuten till en bördig äldre kalkgranskogsmiljö som successivt avverkas och där få områden alltjämt är formellt skyddade. All form av hårdhänt skogsavverkning på eller i närheten av växtplatsen missgynnar arten. Artens huvudsakliga koppling till produktiva äldre granskogar med hög bonitet gör den särskilt utsatt för slutavverkning. Samtliga lokaler bör undantas från rationellt skogsbruk och få ett områdesskydd (SLU Artdatabanken, 2024; Nitare &amp; Skogsstyrelsen, 2019).</w:t>
      </w:r>
    </w:p>
    <w:p>
      <w:r>
        <w:rPr>
          <w:b/>
        </w:rPr>
        <w:t xml:space="preserve">Stor odörspindling (VU) </w:t>
      </w:r>
      <w:r>
        <w:t>bildar mykorrhiza med tall och gran i kalktallskog och ängsgranskog, främst i äldre kalkbarrskog. En fortlöpande minskning bedöms pågå p.g.a. slutavverkningar av äldre kontinuitetsbarrskog. Har uppenbart svårt att återetableras efter avverkning. Kända växtplatser bör inte utsättas för omfattande huggningar eller andra kraftiga störningar som förändrar miljön (SLU Artdatabanken, 2025).</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r>
        <w:rPr>
          <w:b/>
        </w:rPr>
        <w:t>Kryddspindling (NT)</w:t>
      </w:r>
      <w:r>
        <w:t xml:space="preserve"> signalerar örtrika granskogar som normalt har höga naturvärden. Oftast växer den i äldre granskog på kalkrikt underlag och svampen är en mycket användbar signalart för denna miljö. Den utgör en viktig karaktärsart för all äldre kalkbarrskog med lång trädkontinuitet av gran. På lokalerna förekommer nästan alltid många ovanliga och rödlistade arter. Den totala populationen i landet har minskat och bedöms fortsätta minska till följd av avverkning av äldre barrskogar. Kryddspindling är typisk art för </w:t>
      </w:r>
      <w:r>
        <w:rPr>
          <w:i/>
        </w:rPr>
        <w:t xml:space="preserve">9050 Näringsrik granskog </w:t>
      </w:r>
      <w:r>
        <w:t>(Nitare &amp; Skogsstyrelsen, 2000; SLU Artdatabanken, 2026).</w:t>
      </w:r>
    </w:p>
    <w:p>
      <w:r>
        <w:rPr>
          <w:b/>
        </w:rPr>
        <w:t>Mjölsvärting (NT)</w:t>
      </w:r>
      <w:r>
        <w:t xml:space="preserve"> växer i luckig barrskog, huvudsakligen på tallhed och i äldre skog. Mager, äldre tallskog och barrblandskog med lång trädkontinuitet bör undantas från trakthyggesbruk. Mjölsvärtingens lokaler är ofta nyckelbiotoper och bör då sparas i sin helhet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 xml:space="preserve">Tjockfotad fingersvamp (NT) </w:t>
      </w:r>
      <w:r>
        <w:t>bildar mykorrhiza med gran, eventuellt även med tall, i örtrika kalkbarrskogar, samt med bok och ek i ädellövskog på kalkrik mark. Den totala populationen i landet bedöms ha minskat under de senaste 50 åren och förväntas fortsätta minska, främst på grund av slutavverkning av äldre barrskog. Minskningstakten för den svenska populationen bedöms vara nära gränsvärdet för sårbar (VU). Slutavverkning, gödsling eller exploatering måste undvikas (SLU Artdatabanken, 2026).</w:t>
      </w:r>
    </w:p>
    <w:p>
      <w:r>
        <w:rPr>
          <w:b/>
        </w:rPr>
        <w:t>Veckticka (NT)</w:t>
      </w:r>
      <w:r>
        <w:t xml:space="preserve"> förekommer främst i äldre naturskogsartad löv- och blandskog i sena åldersstadier med gamla, döende och döda aspar. Avverkning eller gallring av aspbestånd är ett hot och aspskogar och asprika blandskogar måste bevaras i högre utsträckning än hittills. Sumpskog med asp och sälg har ett särskilt högt naturvärde och bör skyddas helt från skogsbruk. Veckticka är typisk art för </w:t>
      </w:r>
      <w:r>
        <w:rPr>
          <w:i/>
        </w:rPr>
        <w:t xml:space="preserve">9010 Taiga </w:t>
      </w:r>
      <w:r>
        <w:t xml:space="preserve">och </w:t>
      </w:r>
      <w:r>
        <w:rPr>
          <w:i/>
        </w:rPr>
        <w:t>9030 Landhöjningsskog</w:t>
      </w:r>
      <w:r>
        <w:t xml:space="preserve"> (SLU Artdatabanken, 2024; Nitare &amp; Skogsstyrelsen, 2019).</w:t>
      </w:r>
    </w:p>
    <w:p>
      <w:r>
        <w:rPr>
          <w:b/>
        </w:rPr>
        <w:t>Rävticka</w:t>
      </w:r>
      <w:r>
        <w:t xml:space="preserve"> är typisk art för </w:t>
      </w:r>
      <w:r>
        <w:rPr>
          <w:i/>
        </w:rPr>
        <w:t xml:space="preserve">9010 Taiga </w:t>
      </w:r>
      <w:r>
        <w:t>(SLU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samrådsanmälda skogen: aspgelélav (VU, T), grangråticka (VU, T), gul taggsvamp (VU, T), dofttaggsvamp (NT, T), dropptaggsvamp (NT, T), kryddspindling (NT, T), veckticka (NT, T), rävticka (S, T), blåsippa (T, §9)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