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930-2023 i Smedjebackens kommun</w:t>
      </w:r>
    </w:p>
    <w:p>
      <w:r>
        <w:t>Denna tillsynsbegäran behandlar höga naturvärden i samrådsanmälan S 930-2023 i Smedjebackens kommun som inkom 2023-03-16 och omfattar 73,9 ha.</w:t>
      </w:r>
    </w:p>
    <w:p>
      <w:pPr>
        <w:pStyle w:val="Caption"/>
      </w:pPr>
      <w:r>
        <w:drawing>
          <wp:inline xmlns:a="http://schemas.openxmlformats.org/drawingml/2006/main" xmlns:pic="http://schemas.openxmlformats.org/drawingml/2006/picture">
            <wp:extent cx="4221204" cy="5724000"/>
            <wp:docPr id="1" name="Picture 1"/>
            <wp:cNvGraphicFramePr>
              <a:graphicFrameLocks noChangeAspect="1"/>
            </wp:cNvGraphicFramePr>
            <a:graphic>
              <a:graphicData uri="http://schemas.openxmlformats.org/drawingml/2006/picture">
                <pic:pic>
                  <pic:nvPicPr>
                    <pic:cNvPr id="0" name="S 930-2023 karta.png"/>
                    <pic:cNvPicPr/>
                  </pic:nvPicPr>
                  <pic:blipFill>
                    <a:blip r:embed="rId16"/>
                    <a:stretch>
                      <a:fillRect/>
                    </a:stretch>
                  </pic:blipFill>
                  <pic:spPr>
                    <a:xfrm>
                      <a:off x="0" y="0"/>
                      <a:ext cx="422120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6671660, E 521219 i SWEREF 99 TM.</w:t>
      </w:r>
    </w:p>
    <w:p>
      <w:r>
        <w:t>I och inom 13 meter från samrådsanmälan finns fynd av 8 naturvårdsarter, varav 3 är rödlistade, 5 är fridlysta, 5 är typiska (T) och 1 är signalart (S): entita (NT, T, §4), gropticka (NT, T), motaggsvamp (NT, T), gullgröppa (S), tjäder (T, §4), tofsmes (T, §4), smålom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gropticka (NT, T), motaggsvamp (NT,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