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1097-2024 i Smedjebackens kommun</w:t>
      </w:r>
    </w:p>
    <w:p>
      <w:r>
        <w:t>Denna tillsynsbegäran behandlar höga naturvärden i samrådsanmälan S 1097-2024 i Smedjebackens kommun som inkom 2024-04-09 och omfattar 192,0 ha.</w:t>
      </w:r>
    </w:p>
    <w:p>
      <w:pPr>
        <w:pStyle w:val="Caption"/>
      </w:pPr>
      <w:r>
        <w:drawing>
          <wp:inline xmlns:a="http://schemas.openxmlformats.org/drawingml/2006/main" xmlns:pic="http://schemas.openxmlformats.org/drawingml/2006/picture">
            <wp:extent cx="5395802" cy="5724000"/>
            <wp:docPr id="1" name="Picture 1"/>
            <wp:cNvGraphicFramePr>
              <a:graphicFrameLocks noChangeAspect="1"/>
            </wp:cNvGraphicFramePr>
            <a:graphic>
              <a:graphicData uri="http://schemas.openxmlformats.org/drawingml/2006/picture">
                <pic:pic>
                  <pic:nvPicPr>
                    <pic:cNvPr id="0" name="S 1097-2024 karta.png"/>
                    <pic:cNvPicPr/>
                  </pic:nvPicPr>
                  <pic:blipFill>
                    <a:blip r:embed="rId16"/>
                    <a:stretch>
                      <a:fillRect/>
                    </a:stretch>
                  </pic:blipFill>
                  <pic:spPr>
                    <a:xfrm>
                      <a:off x="0" y="0"/>
                      <a:ext cx="539580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6667497, E 520747 i SWEREF 99 TM.</w:t>
      </w:r>
    </w:p>
    <w:p>
      <w:r>
        <w:t>I samrådsanmälan finns fynd av 4 naturvårdsarter, varav 2 är rödlistade, 3 är fridlysta och 2 är typiska (T): grönsångare (NT, §4), talltagel (NT,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