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3569-2025 i Smedjebackens kommun</w:t>
      </w:r>
    </w:p>
    <w:p>
      <w:r>
        <w:t>Denna tillsynsbegäran behandlar höga naturvärden i samrådsanmälan S 3569-2025 i Smedjebackens kommun som inkom 2025-12-18 och omfattar 1578,2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3569-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6647950, E 524135 i SWEREF 99 TM.</w:t>
      </w:r>
    </w:p>
    <w:p>
      <w:r>
        <w:t>I och inom 24 meter från samrådsanmälan finns fynd av 13 naturvårdsarter, varav 6 är rödlistade, 7 är fridlysta, 6 är typiska (T) och 1 är signalart (S): vedsäckmossa (VU), blå säckmossa (NT), blå taggsvamp (NT, T), grantaggsvamp (NT), gullpudra (NT, T), kricka (NT, §4), bågpraktmossa (S, T), mattlummer (T, §9), spillkråka (T, §4), tjäder (T,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taggsvamp (NT, T), gullpudra (NT, T), bågpraktmossa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