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klagomål behandlar höga naturvärden i avverkningsanmälan A 36532-2025 i Smedjebackens kommun som inkom 2025-07-31 och omfattar 1,6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6668236, E 517162 i SWEREF 99 TM.</w:t>
      </w:r>
    </w:p>
    <w:p>
      <w:r>
        <w:t>I och inom 25 meter från avverkningsanmälan finns fynd av 17 naturvårdsarter, varav 9 är rödlistade, 1 är fridlyst, 3 är typiska (T) och 8 är signalarter (S): gyllenfingersvamp (EN), knärot (VU, T, §8), läderdoftande fingersvamp (VU), barrpraktbagge (NT), dropptaggsvamp (NT, T), fjällig taggsvamp s.str. (NT), grantaggsvamp (NT), persiljespindling (NT), skarp dropptaggsvamp (NT), granbarkgnagare (S, T), gulgrön kantmusseron (S), olivspindling (S), rödgul trumpetsvamp (S), svavelriska (S), thomsons trägnagare (S), traslav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21171"/>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421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