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36532-2025 i Smedjebackens kommun</w:t>
      </w:r>
    </w:p>
    <w:p>
      <w:r>
        <w:t>Denna tillsynsbegäran behandlar höga naturvärden i avverkningsanmälan A 36532-2025 i Smedjebackens kommun som inkom 2025-07-31 och omfattar 1,6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6532-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6668236, E 517162 i SWEREF 99 TM.</w:t>
      </w:r>
    </w:p>
    <w:p>
      <w:r>
        <w:t>I och inom 25 meter från avverkningsanmälan finns fynd av 17 naturvårdsarter, varav 9 är rödlistade, 1 är fridlyst, 3 är typiska (T) och 8 är signalarter (S): gyllenfingersvamp (EN), knärot (VU, T, §8), läderdoftande fingersvamp (VU), barrpraktbagge (NT), dropptaggsvamp (NT, T), fjällig taggsvamp s.str. (NT), grantaggsvamp (NT), persiljespindling (NT), skarp dropptaggsvamp (NT), granbarkgnagare (S, T), gulgrön kantmusseron (S), olivspindling (S), rödgul trumpetsvamp (S), svavelriska (S), thomsons trägnagare (S), traslav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421171"/>
            <wp:docPr id="2" name="Picture 2"/>
            <wp:cNvGraphicFramePr>
              <a:graphicFrameLocks noChangeAspect="1"/>
            </wp:cNvGraphicFramePr>
            <a:graphic>
              <a:graphicData uri="http://schemas.openxmlformats.org/drawingml/2006/picture">
                <pic:pic>
                  <pic:nvPicPr>
                    <pic:cNvPr id="0" name="A 36532-2025 karta knärot.png"/>
                    <pic:cNvPicPr/>
                  </pic:nvPicPr>
                  <pic:blipFill>
                    <a:blip r:embed="rId17"/>
                    <a:stretch>
                      <a:fillRect/>
                    </a:stretch>
                  </pic:blipFill>
                  <pic:spPr>
                    <a:xfrm>
                      <a:off x="0" y="0"/>
                      <a:ext cx="5486400" cy="4421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6668236, E 517162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