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5222-2022 i Smedjebackens kommun</w:t>
      </w:r>
    </w:p>
    <w:p>
      <w:r>
        <w:t>Denna tillsynsbegäran behandlar höga naturvärden i samrådsanmälan S 5222-2022 i Smedjebackens kommun som inkom 2022-09-19 och omfattar 77,2 ha.</w:t>
      </w:r>
    </w:p>
    <w:p>
      <w:pPr>
        <w:pStyle w:val="Caption"/>
      </w:pPr>
      <w:r>
        <w:drawing>
          <wp:inline xmlns:a="http://schemas.openxmlformats.org/drawingml/2006/main" xmlns:pic="http://schemas.openxmlformats.org/drawingml/2006/picture">
            <wp:extent cx="4183831" cy="5724000"/>
            <wp:docPr id="1" name="Picture 1"/>
            <wp:cNvGraphicFramePr>
              <a:graphicFrameLocks noChangeAspect="1"/>
            </wp:cNvGraphicFramePr>
            <a:graphic>
              <a:graphicData uri="http://schemas.openxmlformats.org/drawingml/2006/picture">
                <pic:pic>
                  <pic:nvPicPr>
                    <pic:cNvPr id="0" name="S 5222-2022 karta.png"/>
                    <pic:cNvPicPr/>
                  </pic:nvPicPr>
                  <pic:blipFill>
                    <a:blip r:embed="rId16"/>
                    <a:stretch>
                      <a:fillRect/>
                    </a:stretch>
                  </pic:blipFill>
                  <pic:spPr>
                    <a:xfrm>
                      <a:off x="0" y="0"/>
                      <a:ext cx="4183831"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6671652, E 521226 i SWEREF 99 TM.</w:t>
      </w:r>
    </w:p>
    <w:p>
      <w:r>
        <w:t>I och inom 8 meter från samrådsanmälan finns fynd av 12 naturvårdsarter, varav 3 är rödlistade, 8 är fridlysta, 7 är typiska (T) och 3 är signalarter (S): entita (NT, T, §4), gropticka (NT, T), motaggsvamp (NT, T), björksplintborre (S), gullgröppa (S), plattlummer (S, T, §9), mattlummer (T, §9), tjäder (T, §4), tofsmes (T, §4), smålom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gropticka (NT, T), motaggsvamp (NT, T), plattlummer (S, T, §9), mattlummer (T, §9),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