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69045-2018 i Smedjebackens kommun</w:t>
      </w:r>
    </w:p>
    <w:p>
      <w:r>
        <w:t>Detta dokument behandlar höga naturvärden i avverkningsanmälan A 69045-2018 i Smedjebackens kommun. Denna avverkningsanmälan inkom 2018-12-06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grangråticka (VU), granrotspindling (VU), kopparspindling (VU), blek fingersvamp (NT), grantaggsvamp (NT), gultoppig fingersvamp (NT), ladlav (NT), fjällig taggsvamp s.str. (S), kamjordstjärna (S), kryddspindling (S), olivspindling (S), platt fjädermossa (S), skarp dropptaggsvamp (S), skogshakmossa (S), svart trolldruva (S), svavelriska (S), tallfingersvamp (S), underviol (S), vårärt (S), nattviol (§8)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69045-2018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6669350, E 516406 i SWEREF 99 TM.</w:t>
      </w:r>
    </w:p>
    <w:p>
      <w:pPr>
        <w:pStyle w:val="Heading1"/>
      </w:pPr>
      <w:r>
        <w:t>Fridlysta arter</w:t>
      </w:r>
    </w:p>
    <w:p>
      <w:r>
        <w:t>Följande fridlysta arter har sina livsmiljöer och växtplatser i den avverkningsanmälda skogen: nattviol (§8) och blåsippa (§9).</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540770"/>
            <wp:docPr id="2" name="Picture 2"/>
            <wp:cNvGraphicFramePr>
              <a:graphicFrameLocks noChangeAspect="1"/>
            </wp:cNvGraphicFramePr>
            <a:graphic>
              <a:graphicData uri="http://schemas.openxmlformats.org/drawingml/2006/picture">
                <pic:pic>
                  <pic:nvPicPr>
                    <pic:cNvPr id="0" name="A 69045-2018 karta knärot.png"/>
                    <pic:cNvPicPr/>
                  </pic:nvPicPr>
                  <pic:blipFill>
                    <a:blip r:embed="rId17"/>
                    <a:stretch>
                      <a:fillRect/>
                    </a:stretch>
                  </pic:blipFill>
                  <pic:spPr>
                    <a:xfrm>
                      <a:off x="0" y="0"/>
                      <a:ext cx="5486400" cy="65407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6669350, E 516406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