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22623-2026 i Smedjebackens kommun</w:t>
      </w:r>
    </w:p>
    <w:p>
      <w:r>
        <w:t>Detta klagomål behandlar höga naturvärden i avverkningsanmälan A 22623-2026 i Smedjebackens kommun som inkom 2026-05-13 och omfattar 3,1 ha.</w:t>
      </w:r>
    </w:p>
    <w:p>
      <w:pPr>
        <w:pStyle w:val="Caption"/>
      </w:pPr>
      <w:r>
        <w:drawing>
          <wp:inline xmlns:a="http://schemas.openxmlformats.org/drawingml/2006/main" xmlns:pic="http://schemas.openxmlformats.org/drawingml/2006/picture">
            <wp:extent cx="5240115" cy="5724000"/>
            <wp:docPr id="1" name="Picture 1"/>
            <wp:cNvGraphicFramePr>
              <a:graphicFrameLocks noChangeAspect="1"/>
            </wp:cNvGraphicFramePr>
            <a:graphic>
              <a:graphicData uri="http://schemas.openxmlformats.org/drawingml/2006/picture">
                <pic:pic>
                  <pic:nvPicPr>
                    <pic:cNvPr id="0" name="A 22623-2026 karta.png"/>
                    <pic:cNvPicPr/>
                  </pic:nvPicPr>
                  <pic:blipFill>
                    <a:blip r:embed="rId16"/>
                    <a:stretch>
                      <a:fillRect/>
                    </a:stretch>
                  </pic:blipFill>
                  <pic:spPr>
                    <a:xfrm>
                      <a:off x="0" y="0"/>
                      <a:ext cx="524011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6647619, E 538417 i SWEREF 99 TM.</w:t>
      </w:r>
    </w:p>
    <w:p>
      <w:r>
        <w:t>I avverkningsanmälan finns fynd av 3 naturvårdsarter, varav 1 är rödlistad och 2 är signalarter (S): skogsalm (EN), brandticka (S) och dvärgtufs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