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35890-2025 i Smedjebackens kommun</w:t>
      </w:r>
    </w:p>
    <w:p>
      <w:r>
        <w:t>Denna tillsynsbegäran behandlar höga naturvärden i avverkningsanmälan A 35890-2025 i Smedjebackens kommun som inkom 2025-07-24 och omfattar 0,7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35890-2025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6669340, E 516266 i SWEREF 99 TM.</w:t>
      </w:r>
    </w:p>
    <w:p>
      <w:r>
        <w:t>Inom 15 meter från avverkningsanmälan finns fynd av 7 naturvårdsarter, varav 1 är fridlyst, 7 är typiska (T) och 6 är signalarter (S): bågpraktmossa (S, T), grov baronmossa (S, T), guldlockmossa (S, T), stenporella (S, T), svart trolldruva (S, T), trädporella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bågpraktmossa (S, T), grov baronmossa (S, T), guldlockmossa (S, T), stenporella (S, T), svart trolldruva (S, T), trädporella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