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dokument behandlar höga naturvärden i avverkningsanmälan A 36532-2025 i Smedjebackens kommun. Denna avverkningsanmälan inkom 2025-07-31 14:44:39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gyllenfingersvamp (VU), knärot (VU, §8), läderdoftande fingersvamp (VU), barrpraktbagge (NT), druvfingersvamp (NT), grantaggsvamp (NT), persiljespindling (NT), dropptaggsvamp (S), fjällig taggsvamp s.str. (S), granbarkgnagare (S), gulgrön kantmusseron (S), skarp dropptaggsvamp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