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21421-2023 i Smedjebackens kommun</w:t>
      </w:r>
    </w:p>
    <w:p>
      <w:r>
        <w:t>Detta dokument behandlar höga naturvärden i avverkningsanmälan A 21421-2023 i Smedjebackens kommun. Denna avverkningsanmälan inkom 2023-05-17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barrpraktbagge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5088"/>
            <wp:docPr id="1" name="Picture 1"/>
            <wp:cNvGraphicFramePr>
              <a:graphicFrameLocks noChangeAspect="1"/>
            </wp:cNvGraphicFramePr>
            <a:graphic>
              <a:graphicData uri="http://schemas.openxmlformats.org/drawingml/2006/picture">
                <pic:pic>
                  <pic:nvPicPr>
                    <pic:cNvPr id="0" name="A 21421-2023 karta.png"/>
                    <pic:cNvPicPr/>
                  </pic:nvPicPr>
                  <pic:blipFill>
                    <a:blip r:embed="rId16"/>
                    <a:stretch>
                      <a:fillRect/>
                    </a:stretch>
                  </pic:blipFill>
                  <pic:spPr>
                    <a:xfrm>
                      <a:off x="0" y="0"/>
                      <a:ext cx="5486400" cy="52050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6665368, E 513120 i SWEREF 99 TM.</w:t>
      </w:r>
    </w:p>
    <w:p>
      <w:r>
        <w:rPr>
          <w:b/>
        </w:rPr>
        <w:t>Barrpraktbagge (NT)</w:t>
      </w:r>
      <w:r>
        <w:t xml:space="preserve"> är en skalbagge vars larvutveckling sker under bark på nyligen döda, solexponerade stammar av barrträd, i Sverige gran och tall. Arten missgynnas av bristen på solbelyst, färsk barrträdsved i skogslandskapet. Områden där stormfällningar eller skogsbrand skett, bör lämnas orörda utan uttag av virke, exempelvis genom naturvårdsavtal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