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36532-2025 i Smedjebackens kommun</w:t>
      </w:r>
    </w:p>
    <w:p>
      <w:r>
        <w:t>Detta dokument behandlar höga naturvärden i avverkningsanmälan A 36532-2025 i Smedjebackens kommun. Denna avverkningsanmälan inkom 2025-07-31 14:44:39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gyllenfingersvamp (VU), knärot (VU, §8), läderdoftande fingersvamp (VU), barrpraktbagge (NT), druvfingersvamp (NT), grantaggsvamp (NT), persiljespindling (NT), dropptaggsvamp (S), fjällig taggsvamp s.str. (S), granbarkgnagare (S), gulgrön kantmusseron (S), olivspindling (S), skarp dropptaggsvamp (S), svavelriska (S), thomsons trägnagare (S) och vågbandad barkbock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2160"/>
            <wp:docPr id="1" name="Picture 1"/>
            <wp:cNvGraphicFramePr>
              <a:graphicFrameLocks noChangeAspect="1"/>
            </wp:cNvGraphicFramePr>
            <a:graphic>
              <a:graphicData uri="http://schemas.openxmlformats.org/drawingml/2006/picture">
                <pic:pic>
                  <pic:nvPicPr>
                    <pic:cNvPr id="0" name="A 36532-2025 karta.png"/>
                    <pic:cNvPicPr/>
                  </pic:nvPicPr>
                  <pic:blipFill>
                    <a:blip r:embed="rId16"/>
                    <a:stretch>
                      <a:fillRect/>
                    </a:stretch>
                  </pic:blipFill>
                  <pic:spPr>
                    <a:xfrm>
                      <a:off x="0" y="0"/>
                      <a:ext cx="5486400" cy="33521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6668236, E 517162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Gyllenfingersvamp (VU) </w:t>
      </w:r>
      <w:r>
        <w:t>är en sällsynt svamp som</w:t>
      </w:r>
      <w:r>
        <w:rPr>
          <w:b/>
        </w:rPr>
        <w:t xml:space="preserve"> </w:t>
      </w:r>
      <w:r>
        <w:t>bildar mykorrhiza med gran, i granskog på rikare mark, framförallt i kalkbarrskogar, ofta i samma växtmiljö som violgubbe.</w:t>
      </w:r>
      <w:r>
        <w:rPr>
          <w:b/>
        </w:rPr>
        <w:t xml:space="preserve"> </w:t>
      </w:r>
      <w:r>
        <w:t>Som naturvårdsindikator är gyllenfingersvamp en ”toppart”. Den är mycket känslig för skogsbruksåtgärder och är aldrig påträffad i sekundärskog. Artens koppling till produktiva äldre granskogar med hög bonitet gör den särskilt utsatt för slutavverkning. Total population i landet bedöms ha minskat kraftigt och fortsatt minska, huvudsakligen p.g.a. slutavverkningar av äldre kontinuitetsskog. Samtliga lokaler bör undantas från rationellt skogsbruk och kalkbarrskogar med gyllenfingersvamp bör få områdesskydd. Arten är placerad högst upp i Skogsstyrelsens värdepyramid för bedömning av skog med höga naturvärden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4004096"/>
            <wp:docPr id="2" name="Picture 2"/>
            <wp:cNvGraphicFramePr>
              <a:graphicFrameLocks noChangeAspect="1"/>
            </wp:cNvGraphicFramePr>
            <a:graphic>
              <a:graphicData uri="http://schemas.openxmlformats.org/drawingml/2006/picture">
                <pic:pic>
                  <pic:nvPicPr>
                    <pic:cNvPr id="0" name="A 36532-2025 karta knärot.png"/>
                    <pic:cNvPicPr/>
                  </pic:nvPicPr>
                  <pic:blipFill>
                    <a:blip r:embed="rId17"/>
                    <a:stretch>
                      <a:fillRect/>
                    </a:stretch>
                  </pic:blipFill>
                  <pic:spPr>
                    <a:xfrm>
                      <a:off x="0" y="0"/>
                      <a:ext cx="5486400" cy="40040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6668236, E 517162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