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avverkningsanmälan A 40537-2021 i Smedjebackens kommun. Denna avverkningsanmälan inkom 2021-08-12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Följande fridlysta arter har sina livsmiljöer och växtplatser i den avverkningsanmälda skogen: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