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36532-2025 i Smedjebackens kommun</w:t>
      </w:r>
    </w:p>
    <w:p>
      <w:r>
        <w:t>Detta dokument behandlar höga naturvärden i avverkningsanmälan A 36532-2025 i Smedjebackens kommun. Denna avverkningsanmälan inkom 2025-07-31 00:00:00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16 naturvårdsarter hittats: gyllenfingersvamp (VU), knärot (VU, §8), läderdoftande fingersvamp (VU), barrpraktbagge (NT), druvfingersvampar (NT), grantaggsvamp (NT), persiljespindling (NT), dropptaggsvamp (S), fjällig taggsvamp s.str. (S), granbarkgnagare (S), gulgrön kantmusseron (S), olivspindling (S), skarp dropptaggsvamp (S), svavelriska (S), thomsons trägnagare (S) och vågbandad barkbock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52160"/>
            <wp:docPr id="1" name="Picture 1"/>
            <wp:cNvGraphicFramePr>
              <a:graphicFrameLocks noChangeAspect="1"/>
            </wp:cNvGraphicFramePr>
            <a:graphic>
              <a:graphicData uri="http://schemas.openxmlformats.org/drawingml/2006/picture">
                <pic:pic>
                  <pic:nvPicPr>
                    <pic:cNvPr id="0" name="A 36532-2025 karta.png"/>
                    <pic:cNvPicPr/>
                  </pic:nvPicPr>
                  <pic:blipFill>
                    <a:blip r:embed="rId16"/>
                    <a:stretch>
                      <a:fillRect/>
                    </a:stretch>
                  </pic:blipFill>
                  <pic:spPr>
                    <a:xfrm>
                      <a:off x="0" y="0"/>
                      <a:ext cx="5486400" cy="33521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6668236, E 517162 i SWEREF 99 TM.</w:t>
      </w:r>
    </w:p>
    <w:p>
      <w:r>
        <w:rPr>
          <w:b/>
        </w:rPr>
        <w:t>Barrpraktbagge (NT)</w:t>
      </w:r>
      <w:r>
        <w:t xml:space="preserve"> är en skalbagge vars larvutveckling sker under bark på nyligen döda, solexponerade stammar av barrträd, i Sverige gran och tall. Arten missgynnas av bristen på solbelyst, färsk barrträdsved i skogslandskapet. Områden där stormfällningar eller skogsbrand skett, bör lämnas orörda utan uttag av virke, exempelvis genom naturvårdsavtal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Druvfingersvampar </w:t>
      </w:r>
      <w:r>
        <w:t>utgör ett artkomplex</w:t>
      </w:r>
      <w:r>
        <w:rPr>
          <w:b/>
        </w:rPr>
        <w:t xml:space="preserve"> </w:t>
      </w:r>
      <w:r>
        <w:t xml:space="preserve">med en liten grupp rödlistade och snarlika arter; </w:t>
      </w:r>
      <w:r>
        <w:rPr>
          <w:i/>
        </w:rPr>
        <w:t>Ramaria parabotrytis</w:t>
      </w:r>
      <w:r>
        <w:t xml:space="preserve"> (EN), </w:t>
      </w:r>
      <w:r>
        <w:rPr>
          <w:i/>
        </w:rPr>
        <w:t>Ramaria aff. Strasseri</w:t>
      </w:r>
      <w:r>
        <w:t xml:space="preserve"> (EN), </w:t>
      </w:r>
      <w:r>
        <w:rPr>
          <w:i/>
        </w:rPr>
        <w:t>Ramaria aff. Rubrievanescens</w:t>
      </w:r>
      <w:r>
        <w:t xml:space="preserve"> (VU), </w:t>
      </w:r>
      <w:r>
        <w:rPr>
          <w:i/>
        </w:rPr>
        <w:t>Ramaria flavissima</w:t>
      </w:r>
      <w:r>
        <w:t xml:space="preserve"> (NT) och </w:t>
      </w:r>
      <w:r>
        <w:rPr>
          <w:i/>
        </w:rPr>
        <w:t>Ramaria botrytis</w:t>
      </w:r>
      <w:r>
        <w:t xml:space="preserve"> (NT). Arterna växer i skogar med lång skoglig kontinuitet och uppträder gärna på ytor med tunna humuslager och blottad mineraljord, t.ex. i sluttningar eller i närheten av stigar. Druvfingersvamparna är placerade högst upp i Skogsstyrelsens värdepyramid för bedömning av skog med höga naturvärden och all form av skogsavverkning innebär hot. De tål inte en slutavverkning och lokalerna bör undantas från rationella skogsbruksmetoder och inkluderas i formellt skyddad skog (SLU Artdatabanken, 2026; Nitare &amp; Skogsstyrelsen, 2019).</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 xml:space="preserve">Gyllenfingersvamp (EN) </w:t>
      </w:r>
      <w:r>
        <w:t>är en sällsynt och starkt hotad svamp som</w:t>
      </w:r>
      <w:r>
        <w:rPr>
          <w:b/>
        </w:rPr>
        <w:t xml:space="preserve"> </w:t>
      </w:r>
      <w:r>
        <w:t>bildar mykorrhiza med gran, i granskog på rikare mark, framförallt i kalkbarrskogar, ofta i samma växtmiljö som violgubbe.</w:t>
      </w:r>
      <w:r>
        <w:rPr>
          <w:b/>
        </w:rPr>
        <w:t xml:space="preserve"> </w:t>
      </w:r>
      <w:r>
        <w:t>Som naturvårdsindikator är gyllenfingersvamp en ”toppart”. Den är mycket känslig för skogsbruksåtgärder och är aldrig påträffad i sekundärskog. Artens koppling till produktiva äldre granskogar med hög bonitet gör den särskilt utsatt för slutavverkning. Total population i landet bedöms ha minskat kraftigt och fortsatt minska, huvudsakligen p.g.a. slutavverkningar av äldre kontinuitetsskog. Samtliga lokaler bör undantas från rationellt skogsbruk och kalkbarrskogar med gyllenfingersvamp bör få områdesskydd. Arten är placerad högst upp i Skogsstyrelsens värdepyramid för bedömning av skog med höga naturvärden (SLU Artdatabanken, 2026; Nitare &amp; Skogsstyrelsen, 2019).</w:t>
      </w:r>
    </w:p>
    <w:p>
      <w:r>
        <w:rPr>
          <w:b/>
        </w:rPr>
        <w:t xml:space="preserve">Läderdoftande fingersvamp (VU) </w:t>
      </w:r>
      <w:r>
        <w:t>bildar mykorrhiza med gran i örtrik äldre barrskog, ofta på kalkrik mark. Den har en speciell doft som kan påminna om nytt skoläder (skoaffär), därav det svenska namnet. Den totala populationen i landet bedöms ändå ha minskat starkt och fortsatt kommer att minska då arten är knuten till en bördig äldre kalkgranskogsmiljö som successivt avverkas och där få områden alltjämt är formellt skyddade. All form av hårdhänt skogsavverkning på eller i närheten av växtplatsen missgynnar arten. Artens huvudsakliga koppling till produktiva äldre granskogar med hög bonitet gör den särskilt utsatt för slutavverkning. Samtliga lokaler bör undantas från rationellt skogsbruk och få ett områdesskydd (SLU Artdatabanken, 2024; Nitare &amp; Skogsstyrelsen, 2019).</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Persiljespindling (NT)</w:t>
      </w:r>
      <w:r>
        <w:t xml:space="preserve"> bildar mykorrhiza med tall, gran och bok i ängsgranskog, kalktallskog och i ängsbokskog på rikare mark. Minskningstakten uppgår till 15 % inom 50 år och bedöms vara nära gränsvärdet för Sårbar (VU). (A2c+3c+4c). Persiljespindlingen hotas av avverkningar och är särskilt känslig eftersom den är knuten till äldre, produktiv barrskog, d.v.s. en skogstyp som är en bristvara i skyddade områden i Sverige och som samtidigt försvinner i snabb takt genom slutavverkningar. Skyddet för äldre ört- och kalkrika barrskogar med trädkontinuitet måste öka och oskyddade bokskogar med persiljespindling måste få ett formellt skydd i form av biotopskydd eller naturreservat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0.73 ha med buffertzonerna och får av detta skäl inte avverkas.</w:t>
      </w:r>
    </w:p>
    <w:p>
      <w:pPr>
        <w:pStyle w:val="Caption"/>
      </w:pPr>
      <w:r>
        <w:drawing>
          <wp:inline xmlns:a="http://schemas.openxmlformats.org/drawingml/2006/main" xmlns:pic="http://schemas.openxmlformats.org/drawingml/2006/picture">
            <wp:extent cx="5486400" cy="4004096"/>
            <wp:docPr id="2" name="Picture 2"/>
            <wp:cNvGraphicFramePr>
              <a:graphicFrameLocks noChangeAspect="1"/>
            </wp:cNvGraphicFramePr>
            <a:graphic>
              <a:graphicData uri="http://schemas.openxmlformats.org/drawingml/2006/picture">
                <pic:pic>
                  <pic:nvPicPr>
                    <pic:cNvPr id="0" name="A 36532-2025 karta knärot.png"/>
                    <pic:cNvPicPr/>
                  </pic:nvPicPr>
                  <pic:blipFill>
                    <a:blip r:embed="rId17"/>
                    <a:stretch>
                      <a:fillRect/>
                    </a:stretch>
                  </pic:blipFill>
                  <pic:spPr>
                    <a:xfrm>
                      <a:off x="0" y="0"/>
                      <a:ext cx="5486400" cy="400409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6668236, E 517162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