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742-2025 i Smedjebackens kommun</w:t>
      </w:r>
    </w:p>
    <w:p>
      <w:r>
        <w:t>Denna tillsynsbegäran behandlar höga naturvärden i samrådsanmälan S 742-2025 i Smedjebackens kommun som inkom 2025-03-07 och omfattar 43,0 ha.</w:t>
      </w:r>
    </w:p>
    <w:p>
      <w:pPr>
        <w:pStyle w:val="Caption"/>
      </w:pPr>
      <w:r>
        <w:drawing>
          <wp:inline xmlns:a="http://schemas.openxmlformats.org/drawingml/2006/main" xmlns:pic="http://schemas.openxmlformats.org/drawingml/2006/picture">
            <wp:extent cx="5486400" cy="4895868"/>
            <wp:docPr id="1" name="Picture 1"/>
            <wp:cNvGraphicFramePr>
              <a:graphicFrameLocks noChangeAspect="1"/>
            </wp:cNvGraphicFramePr>
            <a:graphic>
              <a:graphicData uri="http://schemas.openxmlformats.org/drawingml/2006/picture">
                <pic:pic>
                  <pic:nvPicPr>
                    <pic:cNvPr id="0" name="S 742-2025 karta.png"/>
                    <pic:cNvPicPr/>
                  </pic:nvPicPr>
                  <pic:blipFill>
                    <a:blip r:embed="rId16"/>
                    <a:stretch>
                      <a:fillRect/>
                    </a:stretch>
                  </pic:blipFill>
                  <pic:spPr>
                    <a:xfrm>
                      <a:off x="0" y="0"/>
                      <a:ext cx="5486400" cy="4895868"/>
                    </a:xfrm>
                    <a:prstGeom prst="rect"/>
                  </pic:spPr>
                </pic:pic>
              </a:graphicData>
            </a:graphic>
          </wp:inline>
        </w:drawing>
      </w:r>
    </w:p>
    <w:p>
      <w:pPr>
        <w:pStyle w:val="Caption"/>
        <w:spacing w:after="240"/>
      </w:pPr>
      <w:r>
        <w:t>Figur 1. Fyndplatser för naturvårdsarter i och inom 11 meter från samrådsanmälan. Markörer utan svart kant är placerade på fyndplatsen. Markörer med svart kant är placerade vid sidan av fyndplatsen och har ett svart streck som visar fyndplatsens exakta position. Kartans mittpunktskoordinat är N 6665290, E 538766 i SWEREF 99 TM.</w:t>
      </w:r>
    </w:p>
    <w:p>
      <w:r>
        <w:t>I och inom 11 meter från samrådsanmälan finns fynd av 7 naturvårdsarter, varav 2 är rödlistade, 3 är fridlysta, 5 är typiska (T) och 3 är signalarter (S): tjockfotad fingersvamp (NT), vedtrappmossa (NT, T), grön sköldmossa (S, T, §8), stubbspretmossa (S, T), tibast (S, T), blåsippa (T, §9) och kopparödla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Tjockfotad fingersvamp (NT) </w:t>
      </w:r>
      <w:r>
        <w:t>bildar mykorrhiza med gran, eventuellt även med tall, i örtrika kalkbarrskogar, samt med bok och ek i ädellövskog på kalkrik mark. Den totala populationen i landet bedöms ha minskat under de senaste 50 åren och förväntas fortsätta minska, främst på grund av slutavverkning av äldre barrskog. Minskningstakten för den svenska populationen bedöms vara nära gränsvärdet för sårbar (VU). Slutavverkning, gödsling eller exploatering måste undvikas (SLU Artdatabanken, 2026).</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vedtrappmossa (NT, T), grön sköldmossa (S, T, §8), stubbspretmossa (S, T), tibast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