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49765-2022 i Smedjebackens kommun</w:t>
      </w:r>
    </w:p>
    <w:p>
      <w:r>
        <w:t>Detta dokument behandlar höga naturvärden i avverkningsanmälan A 49765-2022 i Smedjebackens kommun. Denna avverkningsanmälan inkom 2022-10-25 00:00:00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knärot (VU, §8), läderdoftande fingersvamp (VU), rynkskinn (VU), vågticka (VU), druvfingersvampar (NT), gultoppig fingersvamp (NT), tretåig hackspett (NT, §4), nattviol (§8) och blåsippa (§9).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1152"/>
            <wp:docPr id="1" name="Picture 1"/>
            <wp:cNvGraphicFramePr>
              <a:graphicFrameLocks noChangeAspect="1"/>
            </wp:cNvGraphicFramePr>
            <a:graphic>
              <a:graphicData uri="http://schemas.openxmlformats.org/drawingml/2006/picture">
                <pic:pic>
                  <pic:nvPicPr>
                    <pic:cNvPr id="0" name="A 49765-2022 karta.png"/>
                    <pic:cNvPicPr/>
                  </pic:nvPicPr>
                  <pic:blipFill>
                    <a:blip r:embed="rId16"/>
                    <a:stretch>
                      <a:fillRect/>
                    </a:stretch>
                  </pic:blipFill>
                  <pic:spPr>
                    <a:xfrm>
                      <a:off x="0" y="0"/>
                      <a:ext cx="5486400" cy="37011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6668691, E 516610 i SWEREF 99 TM.</w:t>
      </w:r>
    </w:p>
    <w:p>
      <w:r>
        <w:rPr>
          <w:b/>
        </w:rPr>
        <w:t xml:space="preserve">Druvfingersvampar (NT) </w:t>
      </w:r>
      <w:r>
        <w:t>växer i skogar med lång skoglig kontinuitet och uppträder gärna på ytor med tunna humuslager och blottad mineraljord, t.ex. i sluttningar eller i närheten av stigar. Den är placerad högst upp i Skogsstyrelsens värdepyramid för bedömning av skog med höga naturvärden och all form av skogsavverkning innebär hot. Arten tål inte en slutavverkning och lokalerna bör undantas från rationella skogsbruksmetoder och inkluderas i formellt skyddad skog. Druvfingersvampar utgör en liten grupp snarlika arter, vilka utgör ett artkomplex som är under utredning. Gruppen omfattar minst fem olika arter i Sverige, men tills vidare behandlas druvfingersvamp här i en klassisk kollektiv bemärkelse som en enda art (SLU Artdatabanken, 2024; Nitare &amp; Skogsstyrelsen, 2019).</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 xml:space="preserve">Vågticka (VU) </w:t>
      </w:r>
      <w:r>
        <w:t>är knuten till kontinuitetsgranskogar med mycket död ved. Tidigare ansågs den som ytterst sällsynt men har nu blivit påträffad så många gånger att hotbilden eventuellt förändrats. Fortfarande är dock arten att anse som sårbar eftersom den fordrar rik tillgång till främst granlågor, ett substrat som minskat kraftigt i våra skogar. Vågtickans status bör ytterligare utredas. I väntan på detta måste fler av artens kända växtplatser säkerställas (SLU Artdatabanken, 2024).</w:t>
      </w:r>
    </w:p>
    <w:p>
      <w:pPr>
        <w:pStyle w:val="Heading1"/>
      </w:pPr>
      <w:r>
        <w:t>Fridlysta arter</w:t>
      </w:r>
    </w:p>
    <w:p>
      <w:r>
        <w:t>Följande fridlysta arter har sina livsmiljöer och växtplatser i den avverkningsanmälda skogen: knärot (VU, §8), tretåig hackspett (NT, §4), nattviol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2.09 ha med buffertzonerna och får av detta skäl inte avverkas.</w:t>
      </w:r>
    </w:p>
    <w:p>
      <w:pPr>
        <w:pStyle w:val="Caption"/>
      </w:pPr>
      <w:r>
        <w:drawing>
          <wp:inline xmlns:a="http://schemas.openxmlformats.org/drawingml/2006/main" xmlns:pic="http://schemas.openxmlformats.org/drawingml/2006/picture">
            <wp:extent cx="5486400" cy="4511165"/>
            <wp:docPr id="2" name="Picture 2"/>
            <wp:cNvGraphicFramePr>
              <a:graphicFrameLocks noChangeAspect="1"/>
            </wp:cNvGraphicFramePr>
            <a:graphic>
              <a:graphicData uri="http://schemas.openxmlformats.org/drawingml/2006/picture">
                <pic:pic>
                  <pic:nvPicPr>
                    <pic:cNvPr id="0" name="A 49765-2022 karta knärot.png"/>
                    <pic:cNvPicPr/>
                  </pic:nvPicPr>
                  <pic:blipFill>
                    <a:blip r:embed="rId17"/>
                    <a:stretch>
                      <a:fillRect/>
                    </a:stretch>
                  </pic:blipFill>
                  <pic:spPr>
                    <a:xfrm>
                      <a:off x="0" y="0"/>
                      <a:ext cx="5486400" cy="451116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6668691, E 516610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