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49765-2022 i Smedjebackens kommun</w:t>
      </w:r>
    </w:p>
    <w:p>
      <w:r>
        <w:t>Detta klagomål behandlar höga naturvärden i avverkningsanmälan A 49765-2022 i Smedjebackens kommun som inkom 2022-10-25 och omfattar 6,3 ha.</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A 49765-2022 karta.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6668691, E 516610 i SWEREF 99 TM.</w:t>
      </w:r>
    </w:p>
    <w:p>
      <w:r>
        <w:t>I och inom 19 meter från avverkningsanmälan finns fynd av 11 naturvårdsarter, varav 8 är rödlistade, 5 är fridlysta, 5 är typiska (T) och 1 är signalart (S): knärot (VU, T, §8), läderdoftande fingersvamp (VU), taggfingersvamp (VU), fjällig taggsvamp s.str. (NT), gultoppig fingersvamp (NT), rynkskinn (NT, T), tretåig hackspett (NT, T, §4), vågticka (NT), grönkulla (S, T, §8), blåsippa (T, §9)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2.10 ha med buffertzonerna och får av detta skäl inte avverkas.</w:t>
      </w:r>
    </w:p>
    <w:p>
      <w:pPr>
        <w:pStyle w:val="Caption"/>
      </w:pPr>
      <w:r>
        <w:drawing>
          <wp:inline xmlns:a="http://schemas.openxmlformats.org/drawingml/2006/main" xmlns:pic="http://schemas.openxmlformats.org/drawingml/2006/picture">
            <wp:extent cx="5486400" cy="4928333"/>
            <wp:docPr id="2" name="Picture 2"/>
            <wp:cNvGraphicFramePr>
              <a:graphicFrameLocks noChangeAspect="1"/>
            </wp:cNvGraphicFramePr>
            <a:graphic>
              <a:graphicData uri="http://schemas.openxmlformats.org/drawingml/2006/picture">
                <pic:pic>
                  <pic:nvPicPr>
                    <pic:cNvPr id="0" name="A 49765-2022 karta knärot.png"/>
                    <pic:cNvPicPr/>
                  </pic:nvPicPr>
                  <pic:blipFill>
                    <a:blip r:embed="rId17"/>
                    <a:stretch>
                      <a:fillRect/>
                    </a:stretch>
                  </pic:blipFill>
                  <pic:spPr>
                    <a:xfrm>
                      <a:off x="0" y="0"/>
                      <a:ext cx="5486400" cy="49283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6668691, E 516610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