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702-2025 i Smedjebackens kommun</w:t>
      </w:r>
    </w:p>
    <w:p>
      <w:r>
        <w:t>Detta klagomål behandlar höga naturvärden i samrådsanmälan S 702-2025 i Smedjebackens kommun som inkom 2025-03-04 och omfattar 214,7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S 702-2025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6667849, E 538325 i SWEREF 99 TM.</w:t>
      </w:r>
    </w:p>
    <w:p>
      <w:r>
        <w:t>I och inom 23 meter från samrådsanmälan finns fynd av 2 naturvårdsarter, varav 1 är rödlistad, 2 är fridlysta och 1 är typisk (T): kungsörn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