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924-2023 i Smedjebackens kommun</w:t>
      </w:r>
    </w:p>
    <w:p>
      <w:r>
        <w:t>Denna tillsynsbegäran behandlar höga naturvärden i samrådsanmälan S 924-2023 i Smedjebackens kommun som inkom 2023-03-14 och omfattar 2440,6 ha.</w:t>
      </w:r>
    </w:p>
    <w:p>
      <w:pPr>
        <w:pStyle w:val="Caption"/>
      </w:pPr>
      <w:r>
        <w:drawing>
          <wp:inline xmlns:a="http://schemas.openxmlformats.org/drawingml/2006/main" xmlns:pic="http://schemas.openxmlformats.org/drawingml/2006/picture">
            <wp:extent cx="5475947" cy="5724000"/>
            <wp:docPr id="1" name="Picture 1"/>
            <wp:cNvGraphicFramePr>
              <a:graphicFrameLocks noChangeAspect="1"/>
            </wp:cNvGraphicFramePr>
            <a:graphic>
              <a:graphicData uri="http://schemas.openxmlformats.org/drawingml/2006/picture">
                <pic:pic>
                  <pic:nvPicPr>
                    <pic:cNvPr id="0" name="S 924-2023 karta.png"/>
                    <pic:cNvPicPr/>
                  </pic:nvPicPr>
                  <pic:blipFill>
                    <a:blip r:embed="rId16"/>
                    <a:stretch>
                      <a:fillRect/>
                    </a:stretch>
                  </pic:blipFill>
                  <pic:spPr>
                    <a:xfrm>
                      <a:off x="0" y="0"/>
                      <a:ext cx="5475947"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6655168, E 520887 i SWEREF 99 TM.</w:t>
      </w:r>
    </w:p>
    <w:p>
      <w:r>
        <w:t>I och inom 25 meter från samrådsanmälan finns fynd av 30 naturvårdsarter, varav 22 är rödlistade, 3 är fridlysta, 10 är typiska (T) och 5 är signalarter (S): bitter taggsvamp (EN), koppartaggsvamp (EN), allékantlav (VU), aspgelélav (VU, T), grangråticka (VU, T), gul taggsvamp (VU, T), gyllenspindling (VU), kopparspindling (VU), läderdoftande fingersvamp (VU), stor odörspindling (VU), ängsklint (VU), dofttaggsvamp (NT, T), dropptaggsvamp (NT, T), fjällig taggsvamp s.str. (NT), grantaggsvamp (NT), gultoppig fingersvamp (NT), kryddspindling (NT, T), mjölsvärting (NT), skarp dropptaggsvamp (NT), skogshare (NT), tjockfotad fingersvamp (NT), veckticka (NT, T), diskvaxskivling (S), rävticka (S, T), strimspindling (S), svavelriska (S), zontaggsvamp (S), blåsippa (T, §9), tjäder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Bitter taggsvamp (EN) </w:t>
      </w:r>
      <w:r>
        <w:t>är en sällsynt och starkt hotad ”toppart” som bildar mykorrhiza med gran, möjligen även med tall, i äldre barrskogar med lång kontinuitet. Förekommer på kalkrik eller annan basiskt påverkad mark, främst i miljöer med hög luftfuktighet. Svampen har i friskt tillstånd en säregen doft av bittermandelolja och fruktköttet är mycket bittert i smaken. Arten hotas främst av avverkning och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skyddas formellt. Bitter taggsvamp ingår i ett åtgärdsprogram för hotade arter (ÅGP) och är placerad högst upp i Skogsstyrelsens värdepyramid för bedömning av skog med höga naturvärden (SLU Artdatabanken, 2026; Nitare &amp; Skogsstyrelsen, 2019; Nitare 2006).</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Allékantlav (VU)</w:t>
      </w:r>
      <w:r>
        <w:t xml:space="preserve"> är en skorplav som i norra Sverige växer på asp i barrskogar med hög luftfuktighet. I södra Sverige växer den på grova ädellövträd (oftast ask och alm) i ängs- och hagmark, i alléer, parker och på kyrkogårdar. Växtplatserna är öppna till halvöppna och ofta dammimpregnerade av en grusväg eller åker i närheten. I norra Sverige är avverkning av lövrika barrskogar och att det nyskapas få lövbrännor de största hoten. I södra och mellersta Sverige är det viktigt att nya lämpliga träd nyskapas i närheten av förekomster. Vidare bör dammimpregnering bibehållas om en sådan finns. I norra Sverige bör ett antal lokaler skyddas och avverkning av lövrika barrskogar undvikas (SLU Artdatabanken, 2025).</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Gyllenspindling (VU)</w:t>
      </w:r>
      <w:r>
        <w:t xml:space="preserve"> bildar mykorrhiza med gran i ängsgranskog på kalkrik mark, mer sällan med tall i kalktallskog. Minskningstakten uppgår till 30 % inom 50 år och överstiger gränsvärdet för Sårbar (VU) enligt A-kriteriet. Skogsbruk med kalavverkning, markberedning etc. är ogynnsamt för arten. Barrskog på kalkrik mark är en synnerligen skyddsvärd biotop varav fler områden behöver skyddas (SLU Artdatabanken, 2024).</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Stor odörspindling (VU) </w:t>
      </w:r>
      <w:r>
        <w:t>bildar mykorrhiza med tall och gran i kalktallskog och ängsgranskog, främst i äldre kalkbarrskog. En fortlöpande minskning bedöms pågå p.g.a. slutavverkningar av äldre kontinuitetsbarrskog. Har uppenbart svårt att återetableras efter avverkning. Kända växtplatser bör inte utsättas för omfattande huggningar eller andra kraftiga störningar som förändrar miljön (SLU Artdatabanken, 2025).</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Rävticka</w:t>
      </w:r>
      <w:r>
        <w:t xml:space="preserve"> är typisk art för </w:t>
      </w:r>
      <w:r>
        <w:rPr>
          <w:i/>
        </w:rPr>
        <w:t xml:space="preserve">9010 Taiga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aspgelélav (VU, T), grangråticka (VU, T), gul taggsvamp (VU, T), dofttaggsvamp (NT, T), dropptaggsvamp (NT, T), kryddspindling (NT, T), veckticka (NT, T), rävticka (S, T), blåsippa (T, §9)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