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565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5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18 naturvårdsarter, varav 16 är rödlistade, 2 är fridlysta, 8 är typiska (T) och 1 är signalart (S): garnlav (VU, T), goliatmusseron (VU, T), jättemusseron (VU), lammticka (VU), rotfingersvamp (VU), skrovlig taggsvamp (VU), smalfotad taggsvamp (VU), spadskinn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