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33564-2026 i Mora kommun</w:t>
      </w:r>
    </w:p>
    <w:p>
      <w:r>
        <w:t>Denna tillsynsbegäran behandlar höga naturvärden i avverkningsanmälan A 33564-2026 i Mora kommun som inkom 2026-08-14 och omfattar 17,2 ha.</w:t>
      </w:r>
    </w:p>
    <w:p>
      <w:pPr>
        <w:pStyle w:val="Caption"/>
      </w:pPr>
      <w:r>
        <w:drawing>
          <wp:inline xmlns:a="http://schemas.openxmlformats.org/drawingml/2006/main" xmlns:pic="http://schemas.openxmlformats.org/drawingml/2006/picture">
            <wp:extent cx="5486400" cy="5018831"/>
            <wp:docPr id="1" name="Picture 1"/>
            <wp:cNvGraphicFramePr>
              <a:graphicFrameLocks noChangeAspect="1"/>
            </wp:cNvGraphicFramePr>
            <a:graphic>
              <a:graphicData uri="http://schemas.openxmlformats.org/drawingml/2006/picture">
                <pic:pic>
                  <pic:nvPicPr>
                    <pic:cNvPr id="0" name="A 33564-2026 karta.png"/>
                    <pic:cNvPicPr/>
                  </pic:nvPicPr>
                  <pic:blipFill>
                    <a:blip r:embed="rId16"/>
                    <a:stretch>
                      <a:fillRect/>
                    </a:stretch>
                  </pic:blipFill>
                  <pic:spPr>
                    <a:xfrm>
                      <a:off x="0" y="0"/>
                      <a:ext cx="5486400" cy="501883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6792416, E 458030 i SWEREF 99 TM.</w:t>
      </w:r>
    </w:p>
    <w:p>
      <w:r>
        <w:t>I och inom 24 meter från avverkningsanmälan finns fynd av 16 naturvårdsarter, varav 12 är rödlistade, 5 är fridlysta, 13 är typiska (T) och 1 är signalart (S): garnlav (VU, T), gräddporing (VU, T), knärot (VU, T, §8), blanksvart spiklav (NT), dropptaggsvamp (NT, T), dvärgbägarlav (NT, T), kolflarnlav (NT, T), mörk kolflarnlav (NT), tallticka (NT, T), talltita (NT, §4), vedskivlav (NT, T), violettgrå tagellav (NT, T), mindre märgborre (S, T), bergfink (T, §4), spillkråka (T,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0.98 ha med buffertzonerna och får av detta skäl inte avverkas.</w:t>
      </w:r>
    </w:p>
    <w:p>
      <w:pPr>
        <w:pStyle w:val="Caption"/>
      </w:pPr>
      <w:r>
        <w:drawing>
          <wp:inline xmlns:a="http://schemas.openxmlformats.org/drawingml/2006/main" xmlns:pic="http://schemas.openxmlformats.org/drawingml/2006/picture">
            <wp:extent cx="5486400" cy="4781275"/>
            <wp:docPr id="2" name="Picture 2"/>
            <wp:cNvGraphicFramePr>
              <a:graphicFrameLocks noChangeAspect="1"/>
            </wp:cNvGraphicFramePr>
            <a:graphic>
              <a:graphicData uri="http://schemas.openxmlformats.org/drawingml/2006/picture">
                <pic:pic>
                  <pic:nvPicPr>
                    <pic:cNvPr id="0" name="A 33564-2026 karta knärot.png"/>
                    <pic:cNvPicPr/>
                  </pic:nvPicPr>
                  <pic:blipFill>
                    <a:blip r:embed="rId17"/>
                    <a:stretch>
                      <a:fillRect/>
                    </a:stretch>
                  </pic:blipFill>
                  <pic:spPr>
                    <a:xfrm>
                      <a:off x="0" y="0"/>
                      <a:ext cx="5486400" cy="478127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6792416, E 458030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Bergfink (§4)</w:t>
      </w:r>
      <w:r>
        <w:t xml:space="preserve"> häckar i barr- och blandskog samt i fjällbjörkskog. Den förekommer i Norrland, västra Dalarna och norra Värmland samt sparsamt till sällsynt vidare söderut till mellersta Värmland, norra Västmanland och södra Gästrikland. Bergfink är typisk art för </w:t>
      </w:r>
      <w:r>
        <w:rPr>
          <w:i/>
        </w:rPr>
        <w:t>9040 Fjällbjörkskog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knärot (VU, T, §8), dropptaggsvamp (NT, T), dvärgbägarlav (NT, T), kolflarnlav (NT, T), tallticka (NT, T), vedskivlav (NT, T), violettgrå tagellav (NT, T), mindre märgborre (S, T), bergfink (T, §4),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