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18527-2025 i Mora kommun</w:t>
      </w:r>
    </w:p>
    <w:p>
      <w:r>
        <w:t>Denna tillsynsbegäran behandlar höga naturvärden i avverkningsanmälan A 18527-2025 i Mora kommun som inkom 2025-04-16 och omfattar 10,6 ha.</w:t>
      </w:r>
    </w:p>
    <w:p>
      <w:pPr>
        <w:pStyle w:val="Caption"/>
      </w:pPr>
      <w:r>
        <w:drawing>
          <wp:inline xmlns:a="http://schemas.openxmlformats.org/drawingml/2006/main" xmlns:pic="http://schemas.openxmlformats.org/drawingml/2006/picture">
            <wp:extent cx="5486400" cy="5066445"/>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0664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6768940, E 462552 i SWEREF 99 TM.</w:t>
      </w:r>
    </w:p>
    <w:p>
      <w:r>
        <w:t>I och inom 23 meter från avverkningsanmälan finns fynd av 39 naturvårdsarter, varav 23 är rödlistade, 10 är fridlysta, 25 är typiska (T) och 10 är signalarter (S): garnlav (VU, T), gropig skägglav (VU), gränsticka (VU, T), knärot (VU, T, §8), ulltickeporing (VU), blanksvart spiklav (NT), dropptaggsvamp (NT, T), dvärgbägarlav (NT, T), gammelgransskål (NT, T), kolflarnlav (NT, T), kortskaftad ärgspik (NT), mörk kolflarnlav (NT), rosenticka (NT, T), skogstrappmossa (NT), talltagel (NT, T), talltita (NT, §4), tretåig hackspett (NT, T, §4), ullticka (NT, T), vedflamlav (NT), vedskivlav (NT, T), vedtrappmossa (NT, T), violettgrå tagellav (NT, T), vitgrynig nållav (NT), barkticka (S, T), bollvitmossa (S, T), flagellkvastmossa (S, T), källmossa (S), källpraktmossa (S, T), mindre märgborre (S, T), nästlav (S, T), spindelblomster (S, T, §8), stuplav (S, T), vedticka (S, T), spillkråka (T, §4), tjäder (T, §4), grönsiska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dvärgbägarlav (NT, T), gammelgransskål (NT, T), kolflarnlav (NT, T), rosenticka (NT, T), talltagel (NT, T), tretåig hackspett (NT, T, §4), ullticka (NT, T), vedskivlav (NT, T), vedtrappmossa (NT, T), violettgrå tagellav (NT, T), barkticka (S, T), bollvitmossa (S, T), flagellkvastmossa (S, T), källpraktmossa (S, T), mindre märgborre (S, T), nästlav (S, T),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