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41794-2025 i Mora kommun</w:t>
      </w:r>
    </w:p>
    <w:p>
      <w:r>
        <w:t>Denna tillsynsbegäran behandlar höga naturvärden i avverkningsanmälan A 41794-2025 i Mora kommun som inkom 2025-09-02 och omfattar 14,4 ha.</w:t>
      </w:r>
    </w:p>
    <w:p>
      <w:pPr>
        <w:pStyle w:val="Caption"/>
      </w:pPr>
      <w:r>
        <w:drawing>
          <wp:inline xmlns:a="http://schemas.openxmlformats.org/drawingml/2006/main" xmlns:pic="http://schemas.openxmlformats.org/drawingml/2006/picture">
            <wp:extent cx="5486400" cy="3974341"/>
            <wp:docPr id="1" name="Picture 1"/>
            <wp:cNvGraphicFramePr>
              <a:graphicFrameLocks noChangeAspect="1"/>
            </wp:cNvGraphicFramePr>
            <a:graphic>
              <a:graphicData uri="http://schemas.openxmlformats.org/drawingml/2006/picture">
                <pic:pic>
                  <pic:nvPicPr>
                    <pic:cNvPr id="0" name="A 41794-2025 karta.png"/>
                    <pic:cNvPicPr/>
                  </pic:nvPicPr>
                  <pic:blipFill>
                    <a:blip r:embed="rId16"/>
                    <a:stretch>
                      <a:fillRect/>
                    </a:stretch>
                  </pic:blipFill>
                  <pic:spPr>
                    <a:xfrm>
                      <a:off x="0" y="0"/>
                      <a:ext cx="5486400" cy="3974341"/>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6761148, E 493157 i SWEREF 99 TM.</w:t>
      </w:r>
    </w:p>
    <w:p>
      <w:r>
        <w:t>I och inom 3 meter från avverkningsanmälan finns fynd av 9 naturvårdsarter, varav 5 är rödlistade, 4 är fridlysta, 6 är typiska (T) och 1 är signalart (S): garnlav (VU, T), motaggsvamp (NT, T), rödvingetrast (NT, §4), tallticka (NT, T), vedskivlav (NT, T), mindre märgborre (S, T), spillkråka (T, §4), kungsfågel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motaggsvamp (NT, T), tallticka (NT, T), vedskivlav (NT, T), mindre märgborre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