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5484-2023 i Mora kommun</w:t>
      </w:r>
    </w:p>
    <w:p>
      <w:r>
        <w:t>Detta dokument behandlar höga naturvärden i avverkningsanmälan A 5484-2023 i Mora kommun. Denna avverkningsanmälan inkom 2023-01-31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raggbock (VU), tallbarksvartbagge (VU)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5484-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6765739, E 451466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Tallbarksvartbagge (VU) </w:t>
      </w:r>
      <w:r>
        <w:t>är en skalbagge vars larvutveckling sker i gångsystemen av olika barkborrar på barrträd. De nutida fynden är främst gjorda på tall hos den mindre märgborren, skarptandad och tolvtandad barkborre. Arten är främst knuten till värdefulla, gamla naturskogar av tall. På grund av att de få lokaler, som arten fortfarande finns på, är areellt begränsade och delvis har dåligt skydd föreligger en stor risk att successionen av nyligen döda tallar bryts och arten försvinner från regionen, vilket förmodligen redan skett över en stor del av artens forna utbredningsområde. Det är viktigt att skydda de få återstående lokalerna för arten och se till att det finns en kontinuitet av döda tallar inom dessa områden. Tallbarksvartbagge ingår i ett åtgärdsprogram för hotade arter (ÅGP) (SLU Artdatabanken, 2024; Pettersson, 2014).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