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54991-2025 i Mora kommun</w:t>
      </w:r>
    </w:p>
    <w:p>
      <w:r>
        <w:t>Detta klagomål behandlar höga naturvärden i avverkningsanmälan A 54991-2025 i Mora kommun som inkom 2025-11-06 och omfattar 13,0 ha.</w:t>
      </w:r>
    </w:p>
    <w:p>
      <w:pPr>
        <w:pStyle w:val="Caption"/>
      </w:pPr>
      <w:r>
        <w:drawing>
          <wp:inline xmlns:a="http://schemas.openxmlformats.org/drawingml/2006/main" xmlns:pic="http://schemas.openxmlformats.org/drawingml/2006/picture">
            <wp:extent cx="5486400" cy="3888456"/>
            <wp:docPr id="1" name="Picture 1"/>
            <wp:cNvGraphicFramePr>
              <a:graphicFrameLocks noChangeAspect="1"/>
            </wp:cNvGraphicFramePr>
            <a:graphic>
              <a:graphicData uri="http://schemas.openxmlformats.org/drawingml/2006/picture">
                <pic:pic>
                  <pic:nvPicPr>
                    <pic:cNvPr id="0" name="A 54991-2025 karta.png"/>
                    <pic:cNvPicPr/>
                  </pic:nvPicPr>
                  <pic:blipFill>
                    <a:blip r:embed="rId16"/>
                    <a:stretch>
                      <a:fillRect/>
                    </a:stretch>
                  </pic:blipFill>
                  <pic:spPr>
                    <a:xfrm>
                      <a:off x="0" y="0"/>
                      <a:ext cx="5486400" cy="38884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6770578, E 471149 i SWEREF 99 TM.</w:t>
      </w:r>
    </w:p>
    <w:p>
      <w:r>
        <w:t>I och inom 24 meter från avverkningsanmälan finns fynd av 18 naturvårdsarter, varav 16 är rödlistade, 2 är fridlysta, 8 är typiska (T) och 1 är signalart (S): garnlav (VU, T), goliatmusseron (VU, T), jättemusseron (VU), lammticka (VU), rotfingersvamp (VU), skrovlig taggsvamp (VU), smalfotad taggsvamp (VU), spadskinn (VU), tajgataggsvamp (VU), dropptaggsvamp (NT, T), motaggsvamp (NT, T), orange taggsvamp (NT, T), tallfingersvamp (NT), tallriska (NT), tallticka (NT, T), talltita (NT, §4),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