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21 meter från avverkningsanmälan finns fynd av 4 naturvårdsarter, varav 2 är rödlistade, 1 är fridlyst, 3 är typiska (T) och 1 är signalart (S): garnlav (VU, T), mörk kolflarnlav (NT),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