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24 naturvårdsarter, varav 18 är rödlistade, 7 är fridlysta, 14 är typiska (T) och 2 är signalarter (S): garnlav (VU, T), gräddporing (VU, T), knärot (VU, T, §8), blanksvart spiklav (NT), blågrå svartspik (NT), dvärgbägarlav (NT, T), kolflarnlav (NT, T), kortskaftad ärgspik (NT), rosenticka (NT, T), skogshare (NT), svartvit taggsvamp (NT), tallticka (NT, T), talltita (NT, §4), tretåig hackspett (NT, T, §4), varglav (NT, §8), vedflamlav (NT), vedskivlav (NT, T), vitplätt (NT), mindre märgborre (S, T), vedticka (S, T),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rosenticka (NT, T), tallticka (NT, T), tretåig hackspett (NT, T, §4), vedskivlav (NT, T), mindre märgborre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