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14829-2025 i Mora kommun</w:t>
      </w:r>
    </w:p>
    <w:p>
      <w:r>
        <w:t>Detta dokument behandlar höga naturvärden i avverkningsanmälan A 14829-2025 i Mora kommun. Denna avverkningsanmälan inkom 2025-03-27 08:52:06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motaggsvamp (NT), spillkråka (NT, §4) och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7092"/>
            <wp:docPr id="1" name="Picture 1"/>
            <wp:cNvGraphicFramePr>
              <a:graphicFrameLocks noChangeAspect="1"/>
            </wp:cNvGraphicFramePr>
            <a:graphic>
              <a:graphicData uri="http://schemas.openxmlformats.org/drawingml/2006/picture">
                <pic:pic>
                  <pic:nvPicPr>
                    <pic:cNvPr id="0" name="A 14829-2025 karta.png"/>
                    <pic:cNvPicPr/>
                  </pic:nvPicPr>
                  <pic:blipFill>
                    <a:blip r:embed="rId16"/>
                    <a:stretch>
                      <a:fillRect/>
                    </a:stretch>
                  </pic:blipFill>
                  <pic:spPr>
                    <a:xfrm>
                      <a:off x="0" y="0"/>
                      <a:ext cx="5486400" cy="4767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6772031, E 465712 i SWEREF 99 TM.</w:t>
      </w:r>
    </w:p>
    <w:p>
      <w:r>
        <w:rPr>
          <w:b/>
        </w:rPr>
        <w:t>Dropptaggsvamp</w:t>
      </w:r>
      <w:r>
        <w:t xml:space="preserve"> bildar mykorrhiza med tall, huvudsakligen i äldre skog. Total population i landet bedöms ha minskat och fortsatt minska på grund av slutavverkningar och förhöja kvävenivåer i marken som en följd av skogsgödsling. Dropptaggsvamp är typisk art för </w:t>
      </w:r>
      <w:r>
        <w:rPr>
          <w:i/>
        </w:rPr>
        <w:t xml:space="preserve">9010 Taiga </w:t>
      </w:r>
      <w:r>
        <w:t>(SLU Artdatabanken, 2025).</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