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42391-2023 i Mora kommun</w:t>
      </w:r>
    </w:p>
    <w:p>
      <w:r>
        <w:t>Detta klagomål behandlar höga naturvärden i avverkningsanmälan A 42391-2023 i Mora kommun som inkom 2023-09-11 och omfattar 0,3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42391-2023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6750654, E 475088 i SWEREF 99 TM.</w:t>
      </w:r>
    </w:p>
    <w:p>
      <w:r>
        <w:t>Inom 22 meter från avverkningsanmälan finns fynd av 2 naturvårdsarter, varav 2 är signalarter (S): grön jordtunga (S) och sotriska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 jordtunga</w:t>
      </w:r>
      <w:r>
        <w:t xml:space="preserve"> växer i fuktiga lövskogar och svämskogar, oftast i direkt anslutning till bäckar, åar, sjöar och skogskärr. Svampen är uttorkningskänslig och den indikerar biotoper med hög luftfuktighet. All avverkning eller dränering innebär ett hot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