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947-2026 i Mora kommun</w:t>
      </w:r>
    </w:p>
    <w:p>
      <w:r>
        <w:t>Detta klagomål behandlar höga naturvärden i samrådsanmälan S 947-2026 i Mora kommun som inkom 2026-03-31 och omfattar 8,5 ha.</w:t>
      </w:r>
    </w:p>
    <w:p>
      <w:pPr>
        <w:pStyle w:val="Caption"/>
      </w:pPr>
      <w:r>
        <w:drawing>
          <wp:inline xmlns:a="http://schemas.openxmlformats.org/drawingml/2006/main" xmlns:pic="http://schemas.openxmlformats.org/drawingml/2006/picture">
            <wp:extent cx="5486400" cy="3693422"/>
            <wp:docPr id="1" name="Picture 1"/>
            <wp:cNvGraphicFramePr>
              <a:graphicFrameLocks noChangeAspect="1"/>
            </wp:cNvGraphicFramePr>
            <a:graphic>
              <a:graphicData uri="http://schemas.openxmlformats.org/drawingml/2006/picture">
                <pic:pic>
                  <pic:nvPicPr>
                    <pic:cNvPr id="0" name="S 947-2026 karta.png"/>
                    <pic:cNvPicPr/>
                  </pic:nvPicPr>
                  <pic:blipFill>
                    <a:blip r:embed="rId16"/>
                    <a:stretch>
                      <a:fillRect/>
                    </a:stretch>
                  </pic:blipFill>
                  <pic:spPr>
                    <a:xfrm>
                      <a:off x="0" y="0"/>
                      <a:ext cx="5486400" cy="369342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6771766, E 471955 i SWEREF 99 TM.</w:t>
      </w:r>
    </w:p>
    <w:p>
      <w:r>
        <w:t>I och inom 24 meter från samrådsanmälan finns fynd av 9 naturvårdsarter, varav 9 är rödlistade och 3 är typiska (T): goliatmusseron (VU, T), rotfingersvamp (VU), skrovlig taggsvamp (VU), smultronkantarell (VU), tallgråticka (VU), dropptaggsvamp (NT, T), gelatinfingersvamp (NT), orange taggsvamp (NT, T) och tallfingersvamp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