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31842-2026 i Mora kommun</w:t>
      </w:r>
    </w:p>
    <w:p>
      <w:r>
        <w:t>Detta klagomål behandlar höga naturvärden i avverkningsanmälan A 31842-2026 i Mora kommun som inkom 2026-07-27 och omfattar 9,6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31842-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6748727, E 436375 i SWEREF 99 TM.</w:t>
      </w:r>
    </w:p>
    <w:p>
      <w:r>
        <w:t>I och inom 22 meter från avverkningsanmälan finns fynd av 14 naturvårdsarter, varav 6 är rödlistade, 4 är fridlysta, 11 är typiska (T) och 3 är signalarter (S): garnlav (VU, T), gränsticka (VU, T), knärot (VU, T, §8), talltita (NT, §4), ullticka (NT, T), vedskivlav (NT, T), kransrams (S, T), tibast (S, T), vedticka (S, T), brudborste (T), ormbär (T), torta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68 fyndplatser för knärot registrerade på Artportalen. Figur 2 visar gränserna för buffertzoner på 50 m, som behöver lämnas kring fyndplatserna för att knärotslokalerna inte ska försvinna vid en avverkning. Av det avverkningsanmälda området överlappar 7.21 ha med buffertzonerna och får av detta skäl inte avverkas.</w:t>
      </w:r>
    </w:p>
    <w:p>
      <w:pPr>
        <w:pStyle w:val="Caption"/>
      </w:pPr>
      <w:r>
        <w:drawing>
          <wp:inline xmlns:a="http://schemas.openxmlformats.org/drawingml/2006/main" xmlns:pic="http://schemas.openxmlformats.org/drawingml/2006/picture">
            <wp:extent cx="5486400" cy="6613680"/>
            <wp:docPr id="2" name="Picture 2"/>
            <wp:cNvGraphicFramePr>
              <a:graphicFrameLocks noChangeAspect="1"/>
            </wp:cNvGraphicFramePr>
            <a:graphic>
              <a:graphicData uri="http://schemas.openxmlformats.org/drawingml/2006/picture">
                <pic:pic>
                  <pic:nvPicPr>
                    <pic:cNvPr id="0" name="A 31842-2026 karta knärot.png"/>
                    <pic:cNvPicPr/>
                  </pic:nvPicPr>
                  <pic:blipFill>
                    <a:blip r:embed="rId17"/>
                    <a:stretch>
                      <a:fillRect/>
                    </a:stretch>
                  </pic:blipFill>
                  <pic:spPr>
                    <a:xfrm>
                      <a:off x="0" y="0"/>
                      <a:ext cx="5486400" cy="66136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6748727, E 436375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Ormbär</w:t>
      </w:r>
      <w:r>
        <w:t xml:space="preserve"> är typisk art för </w:t>
      </w:r>
      <w:r>
        <w:rPr>
          <w:i/>
        </w:rPr>
        <w:t xml:space="preserve">9050 Näringsrik granskog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