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31756-2023 i Mora kommun</w:t>
      </w:r>
    </w:p>
    <w:p>
      <w:r>
        <w:t>Detta klagomål behandlar höga naturvärden i avverkningsanmälan A 31756-2023 i Mora kommun som inkom 2023-07-11 och omfattar 29,7 ha.</w:t>
      </w:r>
    </w:p>
    <w:p>
      <w:pPr>
        <w:pStyle w:val="Caption"/>
      </w:pPr>
      <w:r>
        <w:drawing>
          <wp:inline xmlns:a="http://schemas.openxmlformats.org/drawingml/2006/main" xmlns:pic="http://schemas.openxmlformats.org/drawingml/2006/picture">
            <wp:extent cx="5486400" cy="5333759"/>
            <wp:docPr id="1" name="Picture 1"/>
            <wp:cNvGraphicFramePr>
              <a:graphicFrameLocks noChangeAspect="1"/>
            </wp:cNvGraphicFramePr>
            <a:graphic>
              <a:graphicData uri="http://schemas.openxmlformats.org/drawingml/2006/picture">
                <pic:pic>
                  <pic:nvPicPr>
                    <pic:cNvPr id="0" name="A 31756-2023 karta.png"/>
                    <pic:cNvPicPr/>
                  </pic:nvPicPr>
                  <pic:blipFill>
                    <a:blip r:embed="rId16"/>
                    <a:stretch>
                      <a:fillRect/>
                    </a:stretch>
                  </pic:blipFill>
                  <pic:spPr>
                    <a:xfrm>
                      <a:off x="0" y="0"/>
                      <a:ext cx="5486400" cy="533375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6753494, E 442020 i SWEREF 99 TM.</w:t>
      </w:r>
    </w:p>
    <w:p>
      <w:r>
        <w:t>I och inom 25 meter från avverkningsanmälan finns fynd av 38 naturvårdsarter, varav 26 är rödlistade, 3 är fridlysta, 31 är typiska (T) och 11 är signalarter (S): fläckporing (VU, T), garnlav (VU, T), gräddporing (VU, T), knärot (VU, T, §8), liten sotlav (VU, T), vitskaftad svartspik (VU, T), blanksvart spiklav (NT), brunpudrad nållav (NT, T), dropptaggsvamp (NT, T), dvärgbägarlav (NT, T), gammelgransskål (NT, T), gropticka (NT, T), kolflarnlav (NT, T), kortskaftad ärgspik (NT), lunglav (NT, T), mörk kolflarnlav (NT), nordtagging (NT), reliktbock (NT, T), skarp dropptaggsvamp (NT), skrovellav (NT, T), tallticka (NT, T), vedflamlav (NT), vedskivlav (NT, T), vedtrappmossa (NT, T), violettgrå tagellav (NT, T), vitgrynig nållav (NT), barkticka (S, T), bronshjon (S, T), bårdlav (S, T), flagellkvastmossa (S, T), korallblylav (S, T), mindre märgborre (S, T), norrlandslav (S, T), nästlav (S, T), skinnlav (S, T), spindelblomster (S, T, §8),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2.56 ha med buffertzonerna och får av detta skäl inte avverkas.</w:t>
      </w:r>
    </w:p>
    <w:p>
      <w:pPr>
        <w:pStyle w:val="Caption"/>
      </w:pPr>
      <w:r>
        <w:drawing>
          <wp:inline xmlns:a="http://schemas.openxmlformats.org/drawingml/2006/main" xmlns:pic="http://schemas.openxmlformats.org/drawingml/2006/picture">
            <wp:extent cx="5486400" cy="4587082"/>
            <wp:docPr id="2" name="Picture 2"/>
            <wp:cNvGraphicFramePr>
              <a:graphicFrameLocks noChangeAspect="1"/>
            </wp:cNvGraphicFramePr>
            <a:graphic>
              <a:graphicData uri="http://schemas.openxmlformats.org/drawingml/2006/picture">
                <pic:pic>
                  <pic:nvPicPr>
                    <pic:cNvPr id="0" name="A 31756-2023 karta knärot.png"/>
                    <pic:cNvPicPr/>
                  </pic:nvPicPr>
                  <pic:blipFill>
                    <a:blip r:embed="rId17"/>
                    <a:stretch>
                      <a:fillRect/>
                    </a:stretch>
                  </pic:blipFill>
                  <pic:spPr>
                    <a:xfrm>
                      <a:off x="0" y="0"/>
                      <a:ext cx="5486400" cy="45870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6753494, E 442020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