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23972-2026 i Mora kommun</w:t>
      </w:r>
    </w:p>
    <w:p>
      <w:r>
        <w:t>Detta klagomål behandlar höga naturvärden i avverkningsanmälan A 23972-2026 i Mora kommun som inkom 2026-05-25 och omfattar 4,1 ha.</w:t>
      </w:r>
    </w:p>
    <w:p>
      <w:pPr>
        <w:pStyle w:val="Caption"/>
      </w:pPr>
      <w:r>
        <w:drawing>
          <wp:inline xmlns:a="http://schemas.openxmlformats.org/drawingml/2006/main" xmlns:pic="http://schemas.openxmlformats.org/drawingml/2006/picture">
            <wp:extent cx="5335311" cy="5724000"/>
            <wp:docPr id="1" name="Picture 1"/>
            <wp:cNvGraphicFramePr>
              <a:graphicFrameLocks noChangeAspect="1"/>
            </wp:cNvGraphicFramePr>
            <a:graphic>
              <a:graphicData uri="http://schemas.openxmlformats.org/drawingml/2006/picture">
                <pic:pic>
                  <pic:nvPicPr>
                    <pic:cNvPr id="0" name="A 23972-2026 karta.png"/>
                    <pic:cNvPicPr/>
                  </pic:nvPicPr>
                  <pic:blipFill>
                    <a:blip r:embed="rId16"/>
                    <a:stretch>
                      <a:fillRect/>
                    </a:stretch>
                  </pic:blipFill>
                  <pic:spPr>
                    <a:xfrm>
                      <a:off x="0" y="0"/>
                      <a:ext cx="5335311"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6757999, E 488681 i SWEREF 99 TM.</w:t>
      </w:r>
    </w:p>
    <w:p>
      <w:r>
        <w:t>I och inom 12 meter från avverkningsanmälan finns fynd av 10 naturvårdsarter, varav 5 är rödlistade, 7 är fridlysta, 8 är typiska (T) och 1 är signalart (S): garnlav (VU, T), knärot (VU, T, §8), stare (VU, §4), talltita (NT, §4), tretåig hackspett (NT, T, §4), mindre märgborre (S, T), spillkråka (T, §4), stjärtmes (T, §4), timmerticka (T) och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5750351"/>
            <wp:docPr id="2" name="Picture 2"/>
            <wp:cNvGraphicFramePr>
              <a:graphicFrameLocks noChangeAspect="1"/>
            </wp:cNvGraphicFramePr>
            <a:graphic>
              <a:graphicData uri="http://schemas.openxmlformats.org/drawingml/2006/picture">
                <pic:pic>
                  <pic:nvPicPr>
                    <pic:cNvPr id="0" name="A 23972-2026 karta knärot.png"/>
                    <pic:cNvPicPr/>
                  </pic:nvPicPr>
                  <pic:blipFill>
                    <a:blip r:embed="rId17"/>
                    <a:stretch>
                      <a:fillRect/>
                    </a:stretch>
                  </pic:blipFill>
                  <pic:spPr>
                    <a:xfrm>
                      <a:off x="0" y="0"/>
                      <a:ext cx="5486400" cy="57503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6757999, E 488681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Stjärtmes (§4)</w:t>
      </w:r>
      <w:r>
        <w:t xml:space="preserve"> häckar i löv- och blandskog. Studier har visat att den behöver ca 15 % medelålders till äldre lövrika bestånd (&gt;50 % löv), om avståndet mellan bestånden är 500 m. Stjärtmes är fridlyst enligt 4§ artskyddsförordningen och typisk art för </w:t>
      </w:r>
      <w:r>
        <w:rPr>
          <w:i/>
        </w:rPr>
        <w:t>9010 Taiga, 9030 Landhöjningsskog, 9080 Lövsumpskog</w:t>
      </w:r>
      <w:r>
        <w:t xml:space="preserve"> och</w:t>
      </w:r>
      <w:r>
        <w:rPr>
          <w:i/>
        </w:rPr>
        <w:t xml:space="preserve"> 9750 Svämlövskog </w:t>
      </w:r>
      <w:r>
        <w:t>(Jansson, 1999; Skogsstyrelsen, 2014; SLU Artdatabanken, 2025).</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