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18527-2025 i Mora kommun</w:t>
      </w:r>
    </w:p>
    <w:p>
      <w:r>
        <w:t>Denna tillsynsbegäran behandlar höga naturvärden i avverkningsanmälan A 18527-2025 i Mora kommun som inkom 2025-04-16 och omfattar 10,6 ha.</w:t>
      </w:r>
    </w:p>
    <w:p>
      <w:pPr>
        <w:pStyle w:val="Caption"/>
      </w:pPr>
      <w:r>
        <w:drawing>
          <wp:inline xmlns:a="http://schemas.openxmlformats.org/drawingml/2006/main" xmlns:pic="http://schemas.openxmlformats.org/drawingml/2006/picture">
            <wp:extent cx="5486400" cy="5066445"/>
            <wp:docPr id="1" name="Picture 1"/>
            <wp:cNvGraphicFramePr>
              <a:graphicFrameLocks noChangeAspect="1"/>
            </wp:cNvGraphicFramePr>
            <a:graphic>
              <a:graphicData uri="http://schemas.openxmlformats.org/drawingml/2006/picture">
                <pic:pic>
                  <pic:nvPicPr>
                    <pic:cNvPr id="0" name="A 18527-2025 karta.png"/>
                    <pic:cNvPicPr/>
                  </pic:nvPicPr>
                  <pic:blipFill>
                    <a:blip r:embed="rId16"/>
                    <a:stretch>
                      <a:fillRect/>
                    </a:stretch>
                  </pic:blipFill>
                  <pic:spPr>
                    <a:xfrm>
                      <a:off x="0" y="0"/>
                      <a:ext cx="5486400" cy="5066445"/>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6768940, E 462552 i SWEREF 99 TM.</w:t>
      </w:r>
    </w:p>
    <w:p>
      <w:r>
        <w:t>I och inom 23 meter från avverkningsanmälan finns fynd av 39 naturvårdsarter, varav 23 är rödlistade, 10 är fridlysta, 25 är typiska (T) och 10 är signalarter (S): garnlav (VU, T), gropig skägglav (VU), gränsticka (VU, T), knärot (VU, T, §8), ulltickeporing (VU), blanksvart spiklav (NT), dropptaggsvamp (NT, T), dvärgbägarlav (NT, T), gammelgransskål (NT, T), kolflarnlav (NT, T), kortskaftad ärgspik (NT), mörk kolflarnlav (NT), rosenticka (NT, T), skogstrappmossa (NT), talltagel (NT, T), talltita (NT, §4), tretåig hackspett (NT, T, §4), ullticka (NT, T), vedflamlav (NT), vedskivlav (NT, T), vedtrappmossa (NT, T), violettgrå tagellav (NT, T), vitgrynig nållav (NT), barkticka (S, T), bollvitmossa (S, T), flagellkvastmossa (S, T), källmossa (S), källpraktmossa (S, T), mindre märgborre (S, T), nästlav (S, T), spindelblomster (S, T, §8), stuplav (S, T), vedticka (S, T), spillkråka (T, §4), tjäder (T, §4), grönsiska (§4), kungsfågel (§4), orre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Gropig skägglav (VU)</w:t>
      </w:r>
      <w:r>
        <w:t xml:space="preserve"> växer på träd i flera olika miljöer, både kulturmark som alléer och i gammal skog. Är sannolikt känslig för luftföroreningar liksom slutavverkning av gammal skog men orsaken till tillbakagången är delvis oklar. Minskningstakten har uppgått till 30 (20–40) % under de senaste 50 åren och överstiger gränsvärdet för sårbar (VU). Arten påverkas negativt av brist på kontinuitetsskog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0.32 ha med buffertzonerna och får av detta skäl inte avverkas.</w:t>
      </w:r>
    </w:p>
    <w:p>
      <w:pPr>
        <w:pStyle w:val="Caption"/>
      </w:pPr>
      <w:r>
        <w:drawing>
          <wp:inline xmlns:a="http://schemas.openxmlformats.org/drawingml/2006/main" xmlns:pic="http://schemas.openxmlformats.org/drawingml/2006/picture">
            <wp:extent cx="5486400" cy="6605471"/>
            <wp:docPr id="2" name="Picture 2"/>
            <wp:cNvGraphicFramePr>
              <a:graphicFrameLocks noChangeAspect="1"/>
            </wp:cNvGraphicFramePr>
            <a:graphic>
              <a:graphicData uri="http://schemas.openxmlformats.org/drawingml/2006/picture">
                <pic:pic>
                  <pic:nvPicPr>
                    <pic:cNvPr id="0" name="A 18527-2025 karta knärot.png"/>
                    <pic:cNvPicPr/>
                  </pic:nvPicPr>
                  <pic:blipFill>
                    <a:blip r:embed="rId17"/>
                    <a:stretch>
                      <a:fillRect/>
                    </a:stretch>
                  </pic:blipFill>
                  <pic:spPr>
                    <a:xfrm>
                      <a:off x="0" y="0"/>
                      <a:ext cx="5486400" cy="660547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6768940, E 462552 i SWEREF 99 TM.</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Skogstrappmossa (NT) </w:t>
      </w:r>
      <w:r>
        <w:t>är knuten till barrnaturskog med höga naturvärden där den växer på murkna stammar, oftast grova granlågor. Då och då hittas den även på beskuggade urbergsklippor och på fuktig ved i sumpskog. Minskad förekomst av grov död ved av främst barrträd innebär ett hot. Då arten även kräver hög luftfuktighet och skugga utgör alla skogsskötselåtgärder på eller i omedelbar närhet av lokalerna ett hot. På kända lokaler bör ingen avverkning ske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knärot (VU, T, §8), dropptaggsvamp (NT, T), dvärgbägarlav (NT, T), gammelgransskål (NT, T), kolflarnlav (NT, T), rosenticka (NT, T), talltagel (NT, T), tretåig hackspett (NT, T, §4), ullticka (NT, T), vedskivlav (NT, T), vedtrappmossa (NT, T), violettgrå tagellav (NT, T), barkticka (S, T), bollvitmossa (S, T), flagellkvastmossa (S, T), källpraktmossa (S, T), mindre märgborre (S, T), nästlav (S, T), spindelblomster (S, T, §8), stuplav (S, T), vedticka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